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AA97C" w14:textId="6E5B1C0D" w:rsidR="00F476A2" w:rsidRPr="00A12ABF" w:rsidRDefault="008B72E0">
      <w:pPr>
        <w:rPr>
          <w:b/>
          <w:bCs/>
          <w:sz w:val="24"/>
          <w:szCs w:val="24"/>
        </w:rPr>
      </w:pPr>
      <w:r w:rsidRPr="00A12ABF">
        <w:rPr>
          <w:b/>
          <w:bCs/>
          <w:noProof/>
          <w:sz w:val="24"/>
          <w:szCs w:val="24"/>
        </w:rPr>
        <w:drawing>
          <wp:anchor distT="0" distB="0" distL="114300" distR="114300" simplePos="0" relativeHeight="251659264" behindDoc="1" locked="0" layoutInCell="1" allowOverlap="1" wp14:anchorId="542C92D3" wp14:editId="54B084B2">
            <wp:simplePos x="0" y="0"/>
            <wp:positionH relativeFrom="column">
              <wp:posOffset>5267325</wp:posOffset>
            </wp:positionH>
            <wp:positionV relativeFrom="paragraph">
              <wp:posOffset>-695325</wp:posOffset>
            </wp:positionV>
            <wp:extent cx="895350" cy="895350"/>
            <wp:effectExtent l="0" t="0" r="0" b="0"/>
            <wp:wrapNone/>
            <wp:docPr id="146098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8037" name="Picture 14609803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14:sizeRelH relativeFrom="margin">
              <wp14:pctWidth>0</wp14:pctWidth>
            </wp14:sizeRelH>
            <wp14:sizeRelV relativeFrom="margin">
              <wp14:pctHeight>0</wp14:pctHeight>
            </wp14:sizeRelV>
          </wp:anchor>
        </w:drawing>
      </w:r>
      <w:r w:rsidR="00F5681C" w:rsidRPr="00A12ABF">
        <w:rPr>
          <w:b/>
          <w:bCs/>
          <w:sz w:val="24"/>
          <w:szCs w:val="24"/>
        </w:rPr>
        <w:t>SCHEDULE 1</w:t>
      </w:r>
    </w:p>
    <w:p w14:paraId="6ED1D024" w14:textId="3C627B9C" w:rsidR="00F476A2" w:rsidRPr="00A12ABF" w:rsidRDefault="00F5681C" w:rsidP="00F476A2">
      <w:pPr>
        <w:jc w:val="center"/>
        <w:rPr>
          <w:b/>
          <w:bCs/>
          <w:sz w:val="24"/>
          <w:szCs w:val="24"/>
        </w:rPr>
      </w:pPr>
      <w:r w:rsidRPr="00A12ABF">
        <w:rPr>
          <w:b/>
          <w:bCs/>
          <w:sz w:val="24"/>
          <w:szCs w:val="24"/>
        </w:rPr>
        <w:t>POSITION DESC</w:t>
      </w:r>
      <w:r w:rsidR="00A12ABF">
        <w:rPr>
          <w:b/>
          <w:bCs/>
          <w:sz w:val="24"/>
          <w:szCs w:val="24"/>
        </w:rPr>
        <w:t>R</w:t>
      </w:r>
      <w:r w:rsidRPr="00A12ABF">
        <w:rPr>
          <w:b/>
          <w:bCs/>
          <w:sz w:val="24"/>
          <w:szCs w:val="24"/>
        </w:rPr>
        <w:t>IPTION</w:t>
      </w:r>
    </w:p>
    <w:tbl>
      <w:tblPr>
        <w:tblStyle w:val="TableGrid"/>
        <w:tblW w:w="0" w:type="auto"/>
        <w:shd w:val="clear" w:color="auto" w:fill="D9F2D0" w:themeFill="accent6" w:themeFillTint="33"/>
        <w:tblLook w:val="04A0" w:firstRow="1" w:lastRow="0" w:firstColumn="1" w:lastColumn="0" w:noHBand="0" w:noVBand="1"/>
      </w:tblPr>
      <w:tblGrid>
        <w:gridCol w:w="2263"/>
        <w:gridCol w:w="6804"/>
      </w:tblGrid>
      <w:tr w:rsidR="003B662E" w:rsidRPr="008B72E0" w14:paraId="4FD88BA5" w14:textId="77777777" w:rsidTr="00A12ABF">
        <w:trPr>
          <w:trHeight w:val="340"/>
        </w:trPr>
        <w:tc>
          <w:tcPr>
            <w:tcW w:w="2263" w:type="dxa"/>
            <w:shd w:val="clear" w:color="auto" w:fill="D9F2D0" w:themeFill="accent6" w:themeFillTint="33"/>
            <w:vAlign w:val="center"/>
          </w:tcPr>
          <w:p w14:paraId="7F0A5777" w14:textId="28779673" w:rsidR="00F476A2" w:rsidRPr="008B72E0" w:rsidRDefault="00F5681C" w:rsidP="00A12ABF">
            <w:pPr>
              <w:spacing w:line="360" w:lineRule="auto"/>
            </w:pPr>
            <w:r w:rsidRPr="008B72E0">
              <w:t>Position</w:t>
            </w:r>
          </w:p>
        </w:tc>
        <w:tc>
          <w:tcPr>
            <w:tcW w:w="6804" w:type="dxa"/>
            <w:shd w:val="clear" w:color="auto" w:fill="FFFFFF" w:themeFill="background1"/>
            <w:vAlign w:val="center"/>
          </w:tcPr>
          <w:p w14:paraId="4ACA5981" w14:textId="53875060" w:rsidR="00F476A2" w:rsidRPr="008B72E0" w:rsidRDefault="00F5681C" w:rsidP="00A12ABF">
            <w:pPr>
              <w:spacing w:line="360" w:lineRule="auto"/>
            </w:pPr>
            <w:r w:rsidRPr="008B72E0">
              <w:t>Technical Build Support</w:t>
            </w:r>
          </w:p>
        </w:tc>
      </w:tr>
      <w:tr w:rsidR="00B15691" w:rsidRPr="008B72E0" w14:paraId="3B2BA507" w14:textId="77777777" w:rsidTr="00A12ABF">
        <w:trPr>
          <w:trHeight w:val="340"/>
        </w:trPr>
        <w:tc>
          <w:tcPr>
            <w:tcW w:w="2263" w:type="dxa"/>
            <w:shd w:val="clear" w:color="auto" w:fill="D9F2D0" w:themeFill="accent6" w:themeFillTint="33"/>
            <w:vAlign w:val="center"/>
          </w:tcPr>
          <w:p w14:paraId="37ABC4A2" w14:textId="7A685C51" w:rsidR="00B15691" w:rsidRPr="008B72E0" w:rsidRDefault="00B15691" w:rsidP="00A12ABF">
            <w:pPr>
              <w:spacing w:line="360" w:lineRule="auto"/>
            </w:pPr>
            <w:r>
              <w:t>Position Type</w:t>
            </w:r>
          </w:p>
        </w:tc>
        <w:tc>
          <w:tcPr>
            <w:tcW w:w="6804" w:type="dxa"/>
            <w:shd w:val="clear" w:color="auto" w:fill="FFFFFF" w:themeFill="background1"/>
            <w:vAlign w:val="center"/>
          </w:tcPr>
          <w:p w14:paraId="53A34F72" w14:textId="7C39E15B" w:rsidR="00B15691" w:rsidRPr="008B72E0" w:rsidRDefault="00554585" w:rsidP="00A12ABF">
            <w:pPr>
              <w:spacing w:line="360" w:lineRule="auto"/>
            </w:pPr>
            <w:r>
              <w:t>FIXED TERM – 6 Months</w:t>
            </w:r>
            <w:r w:rsidR="00C526F7">
              <w:t xml:space="preserve">, </w:t>
            </w:r>
            <w:r w:rsidR="007D2AED">
              <w:t>P</w:t>
            </w:r>
            <w:r w:rsidR="007D2AED" w:rsidRPr="008B72E0">
              <w:t>art time</w:t>
            </w:r>
            <w:r w:rsidR="007D2AED">
              <w:t xml:space="preserve"> -</w:t>
            </w:r>
            <w:r w:rsidR="007D2AED" w:rsidRPr="008B72E0">
              <w:t xml:space="preserve"> 20 hrs per week</w:t>
            </w:r>
          </w:p>
        </w:tc>
      </w:tr>
      <w:tr w:rsidR="003B662E" w:rsidRPr="008B72E0" w14:paraId="6741A39B" w14:textId="77777777" w:rsidTr="00A12ABF">
        <w:trPr>
          <w:trHeight w:val="340"/>
        </w:trPr>
        <w:tc>
          <w:tcPr>
            <w:tcW w:w="2263" w:type="dxa"/>
            <w:shd w:val="clear" w:color="auto" w:fill="D9F2D0" w:themeFill="accent6" w:themeFillTint="33"/>
            <w:vAlign w:val="center"/>
          </w:tcPr>
          <w:p w14:paraId="4172145B" w14:textId="0E1DC887" w:rsidR="00F476A2" w:rsidRPr="008B72E0" w:rsidRDefault="00F5681C" w:rsidP="00A12ABF">
            <w:pPr>
              <w:spacing w:line="360" w:lineRule="auto"/>
            </w:pPr>
            <w:r w:rsidRPr="008B72E0">
              <w:t>Location</w:t>
            </w:r>
          </w:p>
        </w:tc>
        <w:tc>
          <w:tcPr>
            <w:tcW w:w="6804" w:type="dxa"/>
            <w:shd w:val="clear" w:color="auto" w:fill="FFFFFF" w:themeFill="background1"/>
            <w:vAlign w:val="center"/>
          </w:tcPr>
          <w:p w14:paraId="5083B19D" w14:textId="48B294E5" w:rsidR="00F476A2" w:rsidRPr="008B72E0" w:rsidRDefault="00F23355" w:rsidP="00A12ABF">
            <w:pPr>
              <w:spacing w:line="360" w:lineRule="auto"/>
            </w:pPr>
            <w:r>
              <w:t xml:space="preserve">National Office, </w:t>
            </w:r>
            <w:r w:rsidR="00F5681C" w:rsidRPr="008B72E0">
              <w:t>Level 1, 15 Walter Street, Wellington</w:t>
            </w:r>
          </w:p>
        </w:tc>
      </w:tr>
      <w:tr w:rsidR="003B662E" w:rsidRPr="008B72E0" w14:paraId="3615B532" w14:textId="77777777" w:rsidTr="00A12ABF">
        <w:trPr>
          <w:trHeight w:val="340"/>
        </w:trPr>
        <w:tc>
          <w:tcPr>
            <w:tcW w:w="2263" w:type="dxa"/>
            <w:shd w:val="clear" w:color="auto" w:fill="D9F2D0" w:themeFill="accent6" w:themeFillTint="33"/>
            <w:vAlign w:val="center"/>
          </w:tcPr>
          <w:p w14:paraId="5C2E6DC3" w14:textId="7AB3F5EE" w:rsidR="00F476A2" w:rsidRPr="008B72E0" w:rsidRDefault="00F5681C" w:rsidP="00A12ABF">
            <w:pPr>
              <w:spacing w:line="360" w:lineRule="auto"/>
            </w:pPr>
            <w:r w:rsidRPr="008B72E0">
              <w:t>Group</w:t>
            </w:r>
          </w:p>
        </w:tc>
        <w:tc>
          <w:tcPr>
            <w:tcW w:w="6804" w:type="dxa"/>
            <w:shd w:val="clear" w:color="auto" w:fill="FFFFFF" w:themeFill="background1"/>
            <w:vAlign w:val="center"/>
          </w:tcPr>
          <w:p w14:paraId="7C35C6BA" w14:textId="0606F9F9" w:rsidR="00F476A2" w:rsidRPr="008B72E0" w:rsidRDefault="00F5681C" w:rsidP="00A12ABF">
            <w:pPr>
              <w:spacing w:line="360" w:lineRule="auto"/>
            </w:pPr>
            <w:r w:rsidRPr="008B72E0">
              <w:t xml:space="preserve">National Collective of Independent Women’s Refuge </w:t>
            </w:r>
          </w:p>
        </w:tc>
      </w:tr>
      <w:tr w:rsidR="003B662E" w:rsidRPr="008B72E0" w14:paraId="040E9801" w14:textId="77777777" w:rsidTr="00A12ABF">
        <w:trPr>
          <w:trHeight w:val="340"/>
        </w:trPr>
        <w:tc>
          <w:tcPr>
            <w:tcW w:w="2263" w:type="dxa"/>
            <w:shd w:val="clear" w:color="auto" w:fill="D9F2D0" w:themeFill="accent6" w:themeFillTint="33"/>
            <w:vAlign w:val="center"/>
          </w:tcPr>
          <w:p w14:paraId="79D52118" w14:textId="67392869" w:rsidR="00F476A2" w:rsidRPr="008B72E0" w:rsidRDefault="00F5681C" w:rsidP="00A12ABF">
            <w:pPr>
              <w:spacing w:line="360" w:lineRule="auto"/>
            </w:pPr>
            <w:r w:rsidRPr="008B72E0">
              <w:t>Reporting to</w:t>
            </w:r>
          </w:p>
        </w:tc>
        <w:tc>
          <w:tcPr>
            <w:tcW w:w="6804" w:type="dxa"/>
            <w:shd w:val="clear" w:color="auto" w:fill="FFFFFF" w:themeFill="background1"/>
            <w:vAlign w:val="center"/>
          </w:tcPr>
          <w:p w14:paraId="00637F12" w14:textId="1917185A" w:rsidR="00F476A2" w:rsidRPr="008B72E0" w:rsidRDefault="00F5681C" w:rsidP="00A12ABF">
            <w:pPr>
              <w:spacing w:line="360" w:lineRule="auto"/>
            </w:pPr>
            <w:r w:rsidRPr="008B72E0">
              <w:t xml:space="preserve">Reporting and Accountability </w:t>
            </w:r>
            <w:r w:rsidR="00C82A8B" w:rsidRPr="008B72E0">
              <w:t>Manager</w:t>
            </w:r>
          </w:p>
        </w:tc>
      </w:tr>
      <w:tr w:rsidR="003B662E" w:rsidRPr="008B72E0" w14:paraId="79930E74" w14:textId="77777777" w:rsidTr="00A12ABF">
        <w:trPr>
          <w:trHeight w:val="397"/>
        </w:trPr>
        <w:tc>
          <w:tcPr>
            <w:tcW w:w="2263" w:type="dxa"/>
            <w:shd w:val="clear" w:color="auto" w:fill="D9F2D0" w:themeFill="accent6" w:themeFillTint="33"/>
            <w:vAlign w:val="center"/>
          </w:tcPr>
          <w:p w14:paraId="3EEA1643" w14:textId="675977E3" w:rsidR="00F476A2" w:rsidRPr="008B72E0" w:rsidRDefault="00F5681C" w:rsidP="00A12ABF">
            <w:pPr>
              <w:spacing w:line="360" w:lineRule="auto"/>
            </w:pPr>
            <w:r w:rsidRPr="008B72E0">
              <w:t>Issue Date</w:t>
            </w:r>
          </w:p>
        </w:tc>
        <w:tc>
          <w:tcPr>
            <w:tcW w:w="6804" w:type="dxa"/>
            <w:shd w:val="clear" w:color="auto" w:fill="FFFFFF" w:themeFill="background1"/>
            <w:vAlign w:val="center"/>
          </w:tcPr>
          <w:p w14:paraId="3564DD85" w14:textId="3169EF93" w:rsidR="00F476A2" w:rsidRPr="008B72E0" w:rsidRDefault="00EC1DA6" w:rsidP="00A12ABF">
            <w:pPr>
              <w:spacing w:line="360" w:lineRule="auto"/>
            </w:pPr>
            <w:r>
              <w:t>February 2026</w:t>
            </w:r>
          </w:p>
        </w:tc>
      </w:tr>
      <w:tr w:rsidR="003B662E" w:rsidRPr="008B72E0" w14:paraId="12928610" w14:textId="77777777" w:rsidTr="00A12ABF">
        <w:trPr>
          <w:trHeight w:val="340"/>
        </w:trPr>
        <w:tc>
          <w:tcPr>
            <w:tcW w:w="2263" w:type="dxa"/>
            <w:shd w:val="clear" w:color="auto" w:fill="D9F2D0" w:themeFill="accent6" w:themeFillTint="33"/>
            <w:vAlign w:val="center"/>
          </w:tcPr>
          <w:p w14:paraId="3072561C" w14:textId="2D39BF95" w:rsidR="00F476A2" w:rsidRPr="008B72E0" w:rsidRDefault="00F5681C" w:rsidP="00A12ABF">
            <w:pPr>
              <w:spacing w:line="360" w:lineRule="auto"/>
            </w:pPr>
            <w:r w:rsidRPr="008B72E0">
              <w:t>Delegated Authority</w:t>
            </w:r>
          </w:p>
        </w:tc>
        <w:tc>
          <w:tcPr>
            <w:tcW w:w="6804" w:type="dxa"/>
            <w:shd w:val="clear" w:color="auto" w:fill="FFFFFF" w:themeFill="background1"/>
            <w:vAlign w:val="center"/>
          </w:tcPr>
          <w:p w14:paraId="2D5E37E1" w14:textId="1CA67305" w:rsidR="00F476A2" w:rsidRPr="008B72E0" w:rsidRDefault="00F5681C" w:rsidP="00A12ABF">
            <w:pPr>
              <w:spacing w:line="360" w:lineRule="auto"/>
            </w:pPr>
            <w:r w:rsidRPr="008B72E0">
              <w:t>Nil</w:t>
            </w:r>
          </w:p>
        </w:tc>
      </w:tr>
      <w:tr w:rsidR="003B662E" w:rsidRPr="008B72E0" w14:paraId="34A4BEBD" w14:textId="77777777" w:rsidTr="00A12ABF">
        <w:trPr>
          <w:trHeight w:val="340"/>
        </w:trPr>
        <w:tc>
          <w:tcPr>
            <w:tcW w:w="2263" w:type="dxa"/>
            <w:shd w:val="clear" w:color="auto" w:fill="D9F2D0" w:themeFill="accent6" w:themeFillTint="33"/>
            <w:vAlign w:val="center"/>
          </w:tcPr>
          <w:p w14:paraId="78A69CE9" w14:textId="30A64793" w:rsidR="00F476A2" w:rsidRPr="008B72E0" w:rsidRDefault="00F5681C" w:rsidP="00A12ABF">
            <w:pPr>
              <w:spacing w:line="360" w:lineRule="auto"/>
            </w:pPr>
            <w:r w:rsidRPr="008B72E0">
              <w:t>Staff Responsibility</w:t>
            </w:r>
          </w:p>
        </w:tc>
        <w:tc>
          <w:tcPr>
            <w:tcW w:w="6804" w:type="dxa"/>
            <w:shd w:val="clear" w:color="auto" w:fill="FFFFFF" w:themeFill="background1"/>
            <w:vAlign w:val="center"/>
          </w:tcPr>
          <w:p w14:paraId="2ADE7E6C" w14:textId="15292366" w:rsidR="00F476A2" w:rsidRPr="008B72E0" w:rsidRDefault="00F5681C" w:rsidP="00A12ABF">
            <w:pPr>
              <w:spacing w:line="360" w:lineRule="auto"/>
            </w:pPr>
            <w:r w:rsidRPr="008B72E0">
              <w:t>Nil</w:t>
            </w:r>
          </w:p>
        </w:tc>
      </w:tr>
    </w:tbl>
    <w:p w14:paraId="32D4BECB" w14:textId="77777777" w:rsidR="000F1EFA" w:rsidRDefault="000F1EFA" w:rsidP="00A12ABF">
      <w:pPr>
        <w:spacing w:after="0" w:line="276" w:lineRule="auto"/>
        <w:rPr>
          <w:b/>
          <w:bCs/>
        </w:rPr>
      </w:pPr>
    </w:p>
    <w:p w14:paraId="37583D3D" w14:textId="0EBE3A71" w:rsidR="00F476A2" w:rsidRDefault="00F5681C" w:rsidP="00A12ABF">
      <w:pPr>
        <w:spacing w:after="0" w:line="276" w:lineRule="auto"/>
        <w:rPr>
          <w:b/>
          <w:bCs/>
        </w:rPr>
      </w:pPr>
      <w:r w:rsidRPr="008B72E0">
        <w:rPr>
          <w:b/>
          <w:bCs/>
        </w:rPr>
        <w:t>About us</w:t>
      </w:r>
      <w:r w:rsidR="009C1D71" w:rsidRPr="008B72E0">
        <w:rPr>
          <w:b/>
          <w:bCs/>
        </w:rPr>
        <w:t xml:space="preserve"> </w:t>
      </w:r>
    </w:p>
    <w:p w14:paraId="1F85A0E5" w14:textId="77777777" w:rsidR="000F1EFA" w:rsidRPr="008B72E0" w:rsidRDefault="000F1EFA" w:rsidP="00A12ABF">
      <w:pPr>
        <w:spacing w:after="0" w:line="276" w:lineRule="auto"/>
        <w:rPr>
          <w:b/>
          <w:bCs/>
        </w:rPr>
      </w:pPr>
    </w:p>
    <w:p w14:paraId="3E630E09" w14:textId="6ECD8BF4" w:rsidR="00F476A2" w:rsidRDefault="00F5681C" w:rsidP="00A12ABF">
      <w:pPr>
        <w:spacing w:after="0" w:line="276" w:lineRule="auto"/>
        <w:jc w:val="both"/>
      </w:pPr>
      <w:r w:rsidRPr="008B72E0">
        <w:t>The purpose of the National Collective of Independent Women’s Refuges is to liberate women, children, families and whānau from family violence through the provision of quality services and social commentary. Our vision is leadership which influences the prevention and elimination of domestic violence.</w:t>
      </w:r>
    </w:p>
    <w:p w14:paraId="3D114377" w14:textId="77777777" w:rsidR="000F1EFA" w:rsidRPr="008B72E0" w:rsidRDefault="000F1EFA" w:rsidP="00A12ABF">
      <w:pPr>
        <w:spacing w:after="0" w:line="276" w:lineRule="auto"/>
        <w:jc w:val="both"/>
      </w:pPr>
    </w:p>
    <w:p w14:paraId="032673E7" w14:textId="208843DE" w:rsidR="00F476A2" w:rsidRPr="008B72E0" w:rsidRDefault="00F5681C" w:rsidP="00A12ABF">
      <w:pPr>
        <w:spacing w:after="0" w:line="276" w:lineRule="auto"/>
        <w:jc w:val="both"/>
        <w:rPr>
          <w:b/>
          <w:bCs/>
        </w:rPr>
      </w:pPr>
      <w:r w:rsidRPr="008B72E0">
        <w:rPr>
          <w:b/>
          <w:bCs/>
        </w:rPr>
        <w:t>Technical Build Support</w:t>
      </w:r>
    </w:p>
    <w:p w14:paraId="31842E97" w14:textId="77777777" w:rsidR="000F1EFA" w:rsidRDefault="000F1EFA" w:rsidP="00A12ABF">
      <w:pPr>
        <w:spacing w:after="0" w:line="276" w:lineRule="auto"/>
        <w:jc w:val="both"/>
      </w:pPr>
    </w:p>
    <w:p w14:paraId="266A619A" w14:textId="5A56082B" w:rsidR="00F33C41" w:rsidRPr="008B72E0" w:rsidRDefault="00F5681C" w:rsidP="00A12ABF">
      <w:pPr>
        <w:spacing w:after="0" w:line="276" w:lineRule="auto"/>
        <w:jc w:val="both"/>
      </w:pPr>
      <w:r w:rsidRPr="008B72E0">
        <w:t xml:space="preserve">The role of the Technical Build Support is to </w:t>
      </w:r>
      <w:r w:rsidR="009C1D71" w:rsidRPr="008B72E0">
        <w:t xml:space="preserve">take </w:t>
      </w:r>
      <w:r w:rsidR="00762448" w:rsidRPr="008B72E0">
        <w:t xml:space="preserve">creative direction from the </w:t>
      </w:r>
      <w:r w:rsidR="00975B13" w:rsidRPr="008B72E0">
        <w:t>Senior Learning Advisor</w:t>
      </w:r>
      <w:r w:rsidR="008A53F0" w:rsidRPr="008B72E0">
        <w:t xml:space="preserve"> </w:t>
      </w:r>
      <w:r w:rsidR="00D97FA1" w:rsidRPr="008B72E0">
        <w:t xml:space="preserve">to </w:t>
      </w:r>
      <w:r w:rsidR="00796490" w:rsidRPr="008B72E0">
        <w:t xml:space="preserve">create tailored learning and development experiences and solutions which meet the defined </w:t>
      </w:r>
      <w:r w:rsidR="009F6044" w:rsidRPr="008B72E0">
        <w:t xml:space="preserve">organisation outcomes. </w:t>
      </w:r>
    </w:p>
    <w:p w14:paraId="48D6287D" w14:textId="6FA95FC6" w:rsidR="00AC0DAE" w:rsidRPr="008B72E0" w:rsidRDefault="00F5681C" w:rsidP="00A12ABF">
      <w:pPr>
        <w:spacing w:after="0" w:line="276" w:lineRule="auto"/>
        <w:jc w:val="both"/>
      </w:pPr>
      <w:r w:rsidRPr="008B72E0">
        <w:t xml:space="preserve">The Technical Build Support </w:t>
      </w:r>
      <w:r w:rsidR="00827AFB" w:rsidRPr="008B72E0">
        <w:t>will take creative direction</w:t>
      </w:r>
      <w:r w:rsidR="00463144" w:rsidRPr="008B72E0">
        <w:t xml:space="preserve">, including content, methodologies, </w:t>
      </w:r>
      <w:r w:rsidR="00290D8C" w:rsidRPr="008B72E0">
        <w:t>assets</w:t>
      </w:r>
      <w:r w:rsidR="00997238" w:rsidRPr="008B72E0">
        <w:t xml:space="preserve">, </w:t>
      </w:r>
      <w:r w:rsidR="00EB4B90" w:rsidRPr="008B72E0">
        <w:t>design</w:t>
      </w:r>
      <w:r w:rsidR="00511DB1" w:rsidRPr="008B72E0">
        <w:t xml:space="preserve">, </w:t>
      </w:r>
      <w:r w:rsidR="00997238" w:rsidRPr="008B72E0">
        <w:t xml:space="preserve">key </w:t>
      </w:r>
      <w:r w:rsidR="000B55F7" w:rsidRPr="008B72E0">
        <w:t>languaging</w:t>
      </w:r>
      <w:r w:rsidR="00511DB1" w:rsidRPr="008B72E0">
        <w:t>, technical and publishing tools</w:t>
      </w:r>
      <w:r w:rsidR="000B55F7" w:rsidRPr="008B72E0">
        <w:t xml:space="preserve"> </w:t>
      </w:r>
      <w:r w:rsidR="00827AFB" w:rsidRPr="008B72E0">
        <w:t xml:space="preserve">from </w:t>
      </w:r>
      <w:bookmarkStart w:id="0" w:name="_Hlk178228043"/>
      <w:r w:rsidR="00827AFB" w:rsidRPr="008B72E0">
        <w:t>the</w:t>
      </w:r>
      <w:r w:rsidR="00F33C41" w:rsidRPr="008B72E0">
        <w:t xml:space="preserve"> </w:t>
      </w:r>
      <w:bookmarkStart w:id="1" w:name="_Hlk179895262"/>
      <w:r w:rsidR="00F33C41" w:rsidRPr="008B72E0">
        <w:t>Senior Learning Adv</w:t>
      </w:r>
      <w:r w:rsidR="005754A0" w:rsidRPr="008B72E0">
        <w:t xml:space="preserve">isor </w:t>
      </w:r>
      <w:bookmarkEnd w:id="0"/>
      <w:bookmarkEnd w:id="1"/>
      <w:r w:rsidR="00827AFB" w:rsidRPr="008B72E0">
        <w:t xml:space="preserve">to </w:t>
      </w:r>
      <w:r w:rsidR="0079337D" w:rsidRPr="008B72E0">
        <w:t xml:space="preserve">translate the vision of the learning and development </w:t>
      </w:r>
      <w:r w:rsidR="00C94A6D" w:rsidRPr="008B72E0">
        <w:t xml:space="preserve">experiences and solutions </w:t>
      </w:r>
      <w:r w:rsidR="00761345" w:rsidRPr="008B72E0">
        <w:t xml:space="preserve">to </w:t>
      </w:r>
      <w:r w:rsidR="00827AFB" w:rsidRPr="008B72E0">
        <w:t>build training resources aligned to organisational challenges and requirements.</w:t>
      </w:r>
    </w:p>
    <w:p w14:paraId="0A0B0768" w14:textId="77777777" w:rsidR="00B115E8" w:rsidRPr="008B72E0" w:rsidRDefault="00B115E8" w:rsidP="00A12ABF">
      <w:pPr>
        <w:spacing w:after="0" w:line="276" w:lineRule="auto"/>
        <w:jc w:val="both"/>
        <w:rPr>
          <w:b/>
          <w:bCs/>
        </w:rPr>
      </w:pPr>
    </w:p>
    <w:p w14:paraId="6B604FA0" w14:textId="2AEABABF" w:rsidR="007F344A" w:rsidRPr="008B72E0" w:rsidRDefault="00F5681C" w:rsidP="00A12ABF">
      <w:pPr>
        <w:spacing w:after="0" w:line="240" w:lineRule="auto"/>
        <w:jc w:val="both"/>
        <w:rPr>
          <w:b/>
          <w:bCs/>
        </w:rPr>
      </w:pPr>
      <w:r w:rsidRPr="008B72E0">
        <w:rPr>
          <w:b/>
          <w:bCs/>
        </w:rPr>
        <w:t>KEY AREAS</w:t>
      </w:r>
    </w:p>
    <w:p w14:paraId="68DBA66F" w14:textId="77777777" w:rsidR="007F344A" w:rsidRPr="008B72E0" w:rsidRDefault="007F344A" w:rsidP="00A12ABF">
      <w:pPr>
        <w:spacing w:after="0" w:line="240" w:lineRule="auto"/>
        <w:jc w:val="both"/>
        <w:rPr>
          <w:b/>
          <w:bCs/>
        </w:rPr>
      </w:pPr>
    </w:p>
    <w:p w14:paraId="4D8CCD29" w14:textId="77777777" w:rsidR="007F344A" w:rsidRPr="008B72E0" w:rsidRDefault="00F5681C" w:rsidP="00A12ABF">
      <w:pPr>
        <w:spacing w:after="0" w:line="240" w:lineRule="auto"/>
        <w:jc w:val="both"/>
        <w:rPr>
          <w:b/>
          <w:bCs/>
        </w:rPr>
      </w:pPr>
      <w:r w:rsidRPr="008B72E0">
        <w:rPr>
          <w:b/>
          <w:bCs/>
        </w:rPr>
        <w:t>Core tasks</w:t>
      </w:r>
    </w:p>
    <w:p w14:paraId="2DA779C2" w14:textId="77777777" w:rsidR="007F344A" w:rsidRPr="008B72E0" w:rsidRDefault="007F344A" w:rsidP="00A12ABF">
      <w:pPr>
        <w:spacing w:after="0" w:line="240" w:lineRule="auto"/>
        <w:jc w:val="both"/>
        <w:rPr>
          <w:b/>
          <w:bCs/>
        </w:rPr>
      </w:pPr>
    </w:p>
    <w:p w14:paraId="0CF6D57B" w14:textId="77777777" w:rsidR="007F344A" w:rsidRPr="008B72E0" w:rsidRDefault="00F5681C" w:rsidP="00A12ABF">
      <w:pPr>
        <w:spacing w:after="0" w:line="240" w:lineRule="auto"/>
        <w:jc w:val="both"/>
        <w:rPr>
          <w:b/>
          <w:bCs/>
        </w:rPr>
      </w:pPr>
      <w:r w:rsidRPr="008B72E0">
        <w:rPr>
          <w:b/>
          <w:bCs/>
        </w:rPr>
        <w:t>Design, Production and Evaluation:</w:t>
      </w:r>
    </w:p>
    <w:p w14:paraId="74688687" w14:textId="77777777" w:rsidR="007F344A" w:rsidRPr="008B72E0" w:rsidRDefault="007F344A" w:rsidP="00A12ABF">
      <w:pPr>
        <w:spacing w:after="0" w:line="240" w:lineRule="auto"/>
        <w:jc w:val="both"/>
        <w:rPr>
          <w:b/>
          <w:bCs/>
        </w:rPr>
      </w:pPr>
    </w:p>
    <w:p w14:paraId="68FDE7BF" w14:textId="77777777" w:rsidR="007F344A" w:rsidRPr="008B72E0" w:rsidRDefault="00F5681C" w:rsidP="000F1EFA">
      <w:pPr>
        <w:pStyle w:val="ListParagraph"/>
        <w:numPr>
          <w:ilvl w:val="0"/>
          <w:numId w:val="1"/>
        </w:numPr>
        <w:spacing w:after="0" w:line="276" w:lineRule="auto"/>
        <w:jc w:val="both"/>
      </w:pPr>
      <w:r w:rsidRPr="008B72E0">
        <w:t>Actively contribute to ongoing growth and evolution of NCIWR’s learning and development solutions and initiatives.</w:t>
      </w:r>
    </w:p>
    <w:p w14:paraId="6FB06A38" w14:textId="77777777" w:rsidR="007F344A" w:rsidRPr="008B72E0" w:rsidRDefault="00F5681C" w:rsidP="000F1EFA">
      <w:pPr>
        <w:pStyle w:val="ListParagraph"/>
        <w:numPr>
          <w:ilvl w:val="0"/>
          <w:numId w:val="1"/>
        </w:numPr>
        <w:spacing w:after="0" w:line="276" w:lineRule="auto"/>
        <w:jc w:val="both"/>
      </w:pPr>
      <w:r w:rsidRPr="008B72E0">
        <w:t>Ensure NCIWR is providing high quality, up to date learning and development opportunities for all internal stakeholders to enhance NCIWR’s workforce capability.</w:t>
      </w:r>
    </w:p>
    <w:p w14:paraId="2E9950B2" w14:textId="77777777" w:rsidR="007F344A" w:rsidRPr="008B72E0" w:rsidRDefault="00F5681C" w:rsidP="000F1EFA">
      <w:pPr>
        <w:pStyle w:val="ListParagraph"/>
        <w:numPr>
          <w:ilvl w:val="0"/>
          <w:numId w:val="1"/>
        </w:numPr>
        <w:spacing w:after="0" w:line="276" w:lineRule="auto"/>
        <w:jc w:val="both"/>
      </w:pPr>
      <w:r w:rsidRPr="008B72E0">
        <w:t>Actively contribute to the development of workforce learning processes.</w:t>
      </w:r>
    </w:p>
    <w:p w14:paraId="40AF8E4C" w14:textId="77777777" w:rsidR="006F2435" w:rsidRPr="008B72E0" w:rsidRDefault="00F5681C" w:rsidP="000F1EFA">
      <w:pPr>
        <w:pStyle w:val="ListParagraph"/>
        <w:numPr>
          <w:ilvl w:val="0"/>
          <w:numId w:val="1"/>
        </w:numPr>
        <w:spacing w:after="0" w:line="276" w:lineRule="auto"/>
        <w:jc w:val="both"/>
      </w:pPr>
      <w:r w:rsidRPr="008B72E0">
        <w:t xml:space="preserve">Maintain current knowledge of learning and development services, products, technologies and trends within the marketplace and how they contribute to NCIWR’s outcomes and strategies. </w:t>
      </w:r>
    </w:p>
    <w:p w14:paraId="37EAB644" w14:textId="72E0273C" w:rsidR="00796BC4" w:rsidRPr="008B72E0" w:rsidRDefault="00F5681C" w:rsidP="000F1EFA">
      <w:pPr>
        <w:pStyle w:val="ListParagraph"/>
        <w:numPr>
          <w:ilvl w:val="0"/>
          <w:numId w:val="1"/>
        </w:numPr>
        <w:spacing w:after="0" w:line="276" w:lineRule="auto"/>
        <w:jc w:val="both"/>
      </w:pPr>
      <w:r w:rsidRPr="008B72E0">
        <w:lastRenderedPageBreak/>
        <w:t xml:space="preserve">Advise the Reporting and Accountability </w:t>
      </w:r>
      <w:r w:rsidR="005173F3" w:rsidRPr="008B72E0">
        <w:t>Manager of services products, technologies and trends which are within the marketplace and how they contribute to NCIWR’s outcome strategies.</w:t>
      </w:r>
    </w:p>
    <w:p w14:paraId="71E60D09" w14:textId="4692F334" w:rsidR="007F344A" w:rsidRPr="008B72E0" w:rsidRDefault="00F5681C" w:rsidP="000F1EFA">
      <w:pPr>
        <w:pStyle w:val="ListParagraph"/>
        <w:numPr>
          <w:ilvl w:val="0"/>
          <w:numId w:val="1"/>
        </w:numPr>
        <w:spacing w:after="0" w:line="276" w:lineRule="auto"/>
        <w:jc w:val="both"/>
      </w:pPr>
      <w:r w:rsidRPr="008B72E0">
        <w:t xml:space="preserve">Under the direction modify and adapt programmes and related materials in response to feedback from learners, stakeholders and subject matter experts.  </w:t>
      </w:r>
    </w:p>
    <w:p w14:paraId="218EF4E1" w14:textId="0E5BB63B" w:rsidR="007F344A" w:rsidRPr="008B72E0" w:rsidRDefault="00F5681C" w:rsidP="000F1EFA">
      <w:pPr>
        <w:pStyle w:val="ListParagraph"/>
        <w:numPr>
          <w:ilvl w:val="0"/>
          <w:numId w:val="1"/>
        </w:numPr>
        <w:spacing w:after="0" w:line="276" w:lineRule="auto"/>
        <w:jc w:val="both"/>
      </w:pPr>
      <w:r w:rsidRPr="008B72E0">
        <w:t>Assist in the development of tools for measuring the effectiveness of knowledge and skill transfer on the job.</w:t>
      </w:r>
    </w:p>
    <w:p w14:paraId="045510B7" w14:textId="77777777" w:rsidR="007F344A" w:rsidRPr="008B72E0" w:rsidRDefault="007F344A" w:rsidP="000F1EFA">
      <w:pPr>
        <w:spacing w:after="0" w:line="276" w:lineRule="auto"/>
        <w:jc w:val="both"/>
      </w:pPr>
    </w:p>
    <w:p w14:paraId="0E25D713" w14:textId="186DC34E" w:rsidR="00E54BD7" w:rsidRPr="008B72E0" w:rsidRDefault="00F5681C" w:rsidP="000F1EFA">
      <w:pPr>
        <w:spacing w:after="0" w:line="276" w:lineRule="auto"/>
        <w:jc w:val="both"/>
        <w:rPr>
          <w:b/>
          <w:bCs/>
        </w:rPr>
      </w:pPr>
      <w:r w:rsidRPr="008B72E0">
        <w:rPr>
          <w:b/>
          <w:bCs/>
        </w:rPr>
        <w:t>Partnerships &amp; Stakeholder Relationships</w:t>
      </w:r>
    </w:p>
    <w:p w14:paraId="497405FB" w14:textId="77777777" w:rsidR="00E54BD7" w:rsidRPr="008B72E0" w:rsidRDefault="00E54BD7" w:rsidP="000F1EFA">
      <w:pPr>
        <w:spacing w:after="0" w:line="276" w:lineRule="auto"/>
        <w:jc w:val="both"/>
      </w:pPr>
    </w:p>
    <w:p w14:paraId="1B329DB8" w14:textId="2D653045" w:rsidR="00E54BD7" w:rsidRPr="008B72E0" w:rsidRDefault="00F5681C" w:rsidP="000F1EFA">
      <w:pPr>
        <w:pStyle w:val="ListParagraph"/>
        <w:numPr>
          <w:ilvl w:val="0"/>
          <w:numId w:val="1"/>
        </w:numPr>
        <w:spacing w:after="0" w:line="276" w:lineRule="auto"/>
        <w:jc w:val="both"/>
      </w:pPr>
      <w:r w:rsidRPr="008B72E0">
        <w:t>Promote NCIWR as a trusted and trustworthy partner to all stakeholders</w:t>
      </w:r>
      <w:r w:rsidR="00BF1D50" w:rsidRPr="008B72E0">
        <w:t>.</w:t>
      </w:r>
    </w:p>
    <w:p w14:paraId="0CCCB3E3" w14:textId="2EFF485C" w:rsidR="00BF1D50" w:rsidRPr="008B72E0" w:rsidRDefault="00F5681C" w:rsidP="000F1EFA">
      <w:pPr>
        <w:pStyle w:val="ListParagraph"/>
        <w:numPr>
          <w:ilvl w:val="0"/>
          <w:numId w:val="1"/>
        </w:numPr>
        <w:spacing w:after="0" w:line="276" w:lineRule="auto"/>
        <w:jc w:val="both"/>
      </w:pPr>
      <w:r w:rsidRPr="008B72E0">
        <w:t>Support the CE and National Office management team to manage the NCIWR reputation</w:t>
      </w:r>
      <w:r w:rsidR="00AC3F6F" w:rsidRPr="008B72E0">
        <w:t xml:space="preserve"> with key stakeholders and the public.</w:t>
      </w:r>
    </w:p>
    <w:p w14:paraId="281FE1C2" w14:textId="77777777" w:rsidR="00AC5806" w:rsidRPr="008B72E0" w:rsidRDefault="00AC5806" w:rsidP="000F1EFA">
      <w:pPr>
        <w:spacing w:after="0" w:line="276" w:lineRule="auto"/>
        <w:jc w:val="both"/>
        <w:rPr>
          <w:b/>
          <w:bCs/>
        </w:rPr>
      </w:pPr>
    </w:p>
    <w:p w14:paraId="1E5C3B21" w14:textId="0B35C053" w:rsidR="00AC3F6F" w:rsidRPr="008B72E0" w:rsidRDefault="00F5681C" w:rsidP="000F1EFA">
      <w:pPr>
        <w:spacing w:after="0" w:line="276" w:lineRule="auto"/>
        <w:jc w:val="both"/>
        <w:rPr>
          <w:b/>
          <w:bCs/>
        </w:rPr>
      </w:pPr>
      <w:r w:rsidRPr="008B72E0">
        <w:rPr>
          <w:b/>
          <w:bCs/>
        </w:rPr>
        <w:t>Organisational</w:t>
      </w:r>
    </w:p>
    <w:p w14:paraId="6B202F12" w14:textId="77777777" w:rsidR="00AC3F6F" w:rsidRPr="008B72E0" w:rsidRDefault="00AC3F6F" w:rsidP="000F1EFA">
      <w:pPr>
        <w:spacing w:after="0" w:line="276" w:lineRule="auto"/>
        <w:jc w:val="both"/>
      </w:pPr>
    </w:p>
    <w:p w14:paraId="2F5014AD" w14:textId="5525682A" w:rsidR="00AC3F6F" w:rsidRPr="008B72E0" w:rsidRDefault="00F5681C" w:rsidP="000F1EFA">
      <w:pPr>
        <w:pStyle w:val="ListParagraph"/>
        <w:numPr>
          <w:ilvl w:val="0"/>
          <w:numId w:val="1"/>
        </w:numPr>
        <w:spacing w:after="0" w:line="276" w:lineRule="auto"/>
        <w:jc w:val="both"/>
      </w:pPr>
      <w:r w:rsidRPr="008B72E0">
        <w:t xml:space="preserve">Work with the Reporting and Accountability Manager and the Senior Learning Advisor </w:t>
      </w:r>
      <w:r w:rsidR="00F479D9" w:rsidRPr="008B72E0">
        <w:t xml:space="preserve">to build understanding of good learning and development practice across </w:t>
      </w:r>
      <w:r w:rsidR="000B700C" w:rsidRPr="008B72E0">
        <w:t xml:space="preserve">NCIWR, including providing advice and support to colleagues </w:t>
      </w:r>
      <w:r w:rsidR="00DC6094" w:rsidRPr="008B72E0">
        <w:t xml:space="preserve">within the </w:t>
      </w:r>
      <w:r w:rsidR="00800F6B" w:rsidRPr="008B72E0">
        <w:t>National Office Team.</w:t>
      </w:r>
    </w:p>
    <w:p w14:paraId="5B7E092A" w14:textId="738535CC" w:rsidR="00800F6B" w:rsidRPr="008B72E0" w:rsidRDefault="00F5681C" w:rsidP="000F1EFA">
      <w:pPr>
        <w:pStyle w:val="ListParagraph"/>
        <w:numPr>
          <w:ilvl w:val="0"/>
          <w:numId w:val="1"/>
        </w:numPr>
        <w:spacing w:after="0" w:line="276" w:lineRule="auto"/>
        <w:jc w:val="both"/>
      </w:pPr>
      <w:r w:rsidRPr="008B72E0">
        <w:t>Share learning and development best practice, and support development and upskill</w:t>
      </w:r>
      <w:r w:rsidR="00AC5806" w:rsidRPr="008B72E0">
        <w:t xml:space="preserve"> and grow the confidence of peers, colleagues and member refuges in areas pertaining to learning and workforce capability development.</w:t>
      </w:r>
    </w:p>
    <w:p w14:paraId="172ACC05" w14:textId="77777777" w:rsidR="00AC5806" w:rsidRPr="008B72E0" w:rsidRDefault="00AC5806" w:rsidP="000F1EFA">
      <w:pPr>
        <w:spacing w:after="0" w:line="276" w:lineRule="auto"/>
        <w:jc w:val="both"/>
        <w:rPr>
          <w:b/>
          <w:bCs/>
        </w:rPr>
      </w:pPr>
    </w:p>
    <w:p w14:paraId="1F9F392E" w14:textId="6A248C64" w:rsidR="007F344A" w:rsidRPr="008B72E0" w:rsidRDefault="00F5681C" w:rsidP="000F1EFA">
      <w:pPr>
        <w:spacing w:after="0" w:line="276" w:lineRule="auto"/>
        <w:jc w:val="both"/>
        <w:rPr>
          <w:b/>
          <w:bCs/>
        </w:rPr>
      </w:pPr>
      <w:r w:rsidRPr="008B72E0">
        <w:rPr>
          <w:b/>
          <w:bCs/>
        </w:rPr>
        <w:t>WORKING RELATIONSHIPS</w:t>
      </w:r>
    </w:p>
    <w:p w14:paraId="3A616E9B" w14:textId="77777777" w:rsidR="007F344A" w:rsidRPr="008B72E0" w:rsidRDefault="007F344A" w:rsidP="000F1EFA">
      <w:pPr>
        <w:spacing w:after="0" w:line="276" w:lineRule="auto"/>
        <w:jc w:val="both"/>
      </w:pPr>
    </w:p>
    <w:p w14:paraId="46DD026E" w14:textId="77777777" w:rsidR="007F344A" w:rsidRPr="008B72E0" w:rsidRDefault="00F5681C" w:rsidP="000F1EFA">
      <w:pPr>
        <w:spacing w:after="0" w:line="276" w:lineRule="auto"/>
        <w:jc w:val="both"/>
        <w:rPr>
          <w:b/>
          <w:bCs/>
        </w:rPr>
      </w:pPr>
      <w:r w:rsidRPr="008B72E0">
        <w:rPr>
          <w:b/>
          <w:bCs/>
        </w:rPr>
        <w:t>Internal:</w:t>
      </w:r>
    </w:p>
    <w:p w14:paraId="27B312CD" w14:textId="77777777" w:rsidR="007F344A" w:rsidRPr="008B72E0" w:rsidRDefault="007F344A" w:rsidP="000F1EFA">
      <w:pPr>
        <w:spacing w:after="0" w:line="276" w:lineRule="auto"/>
        <w:jc w:val="both"/>
        <w:rPr>
          <w:b/>
          <w:bCs/>
        </w:rPr>
      </w:pPr>
    </w:p>
    <w:p w14:paraId="1BE4F7F9" w14:textId="77777777" w:rsidR="007F344A" w:rsidRPr="008B72E0" w:rsidRDefault="00F5681C" w:rsidP="000F1EFA">
      <w:pPr>
        <w:pStyle w:val="ListParagraph"/>
        <w:numPr>
          <w:ilvl w:val="0"/>
          <w:numId w:val="1"/>
        </w:numPr>
        <w:spacing w:after="0" w:line="276" w:lineRule="auto"/>
        <w:jc w:val="both"/>
      </w:pPr>
      <w:r w:rsidRPr="008B72E0">
        <w:t xml:space="preserve">Chief Executive </w:t>
      </w:r>
    </w:p>
    <w:p w14:paraId="3A09D975" w14:textId="6E9332A6" w:rsidR="007F344A" w:rsidRPr="008B72E0" w:rsidRDefault="00F5681C" w:rsidP="000F1EFA">
      <w:pPr>
        <w:pStyle w:val="ListParagraph"/>
        <w:numPr>
          <w:ilvl w:val="0"/>
          <w:numId w:val="1"/>
        </w:numPr>
        <w:spacing w:after="0" w:line="276" w:lineRule="auto"/>
        <w:jc w:val="both"/>
      </w:pPr>
      <w:r w:rsidRPr="008B72E0">
        <w:t xml:space="preserve">Reporting and Accountability </w:t>
      </w:r>
      <w:r w:rsidR="00430BC4" w:rsidRPr="008B72E0">
        <w:t>Manager</w:t>
      </w:r>
    </w:p>
    <w:p w14:paraId="50780F8C" w14:textId="4E8C2F30" w:rsidR="00AD64B6" w:rsidRPr="008B72E0" w:rsidRDefault="00F5681C" w:rsidP="000F1EFA">
      <w:pPr>
        <w:pStyle w:val="ListParagraph"/>
        <w:numPr>
          <w:ilvl w:val="0"/>
          <w:numId w:val="1"/>
        </w:numPr>
        <w:spacing w:after="0" w:line="276" w:lineRule="auto"/>
        <w:jc w:val="both"/>
      </w:pPr>
      <w:r w:rsidRPr="008B72E0">
        <w:t xml:space="preserve">Senior Learning Advisor  </w:t>
      </w:r>
    </w:p>
    <w:p w14:paraId="26E83AB7" w14:textId="77777777" w:rsidR="007F344A" w:rsidRPr="008B72E0" w:rsidRDefault="00F5681C" w:rsidP="000F1EFA">
      <w:pPr>
        <w:pStyle w:val="ListParagraph"/>
        <w:numPr>
          <w:ilvl w:val="0"/>
          <w:numId w:val="1"/>
        </w:numPr>
        <w:spacing w:after="0" w:line="276" w:lineRule="auto"/>
        <w:jc w:val="both"/>
      </w:pPr>
      <w:r w:rsidRPr="008B72E0">
        <w:t>National Office staff</w:t>
      </w:r>
    </w:p>
    <w:p w14:paraId="362156D2" w14:textId="77777777" w:rsidR="007F344A" w:rsidRPr="008B72E0" w:rsidRDefault="00F5681C" w:rsidP="000F1EFA">
      <w:pPr>
        <w:pStyle w:val="ListParagraph"/>
        <w:numPr>
          <w:ilvl w:val="0"/>
          <w:numId w:val="1"/>
        </w:numPr>
        <w:spacing w:after="0" w:line="276" w:lineRule="auto"/>
        <w:jc w:val="both"/>
      </w:pPr>
      <w:r w:rsidRPr="008B72E0">
        <w:t>Member Refuges</w:t>
      </w:r>
    </w:p>
    <w:p w14:paraId="66B12B35" w14:textId="77777777" w:rsidR="007F344A" w:rsidRPr="008B72E0" w:rsidRDefault="007F344A" w:rsidP="00A12ABF">
      <w:pPr>
        <w:spacing w:after="0" w:line="240" w:lineRule="auto"/>
        <w:jc w:val="both"/>
      </w:pPr>
    </w:p>
    <w:p w14:paraId="35D37D5A" w14:textId="77777777" w:rsidR="007F344A" w:rsidRPr="008B72E0" w:rsidRDefault="00F5681C" w:rsidP="00A12ABF">
      <w:pPr>
        <w:spacing w:after="0" w:line="240" w:lineRule="auto"/>
        <w:jc w:val="both"/>
        <w:rPr>
          <w:b/>
          <w:bCs/>
        </w:rPr>
      </w:pPr>
      <w:r w:rsidRPr="008B72E0">
        <w:rPr>
          <w:b/>
          <w:bCs/>
        </w:rPr>
        <w:t>CONDITIONS OF EMPLOYMENT</w:t>
      </w:r>
    </w:p>
    <w:p w14:paraId="0D7CAB28" w14:textId="77777777" w:rsidR="007F344A" w:rsidRPr="008B72E0" w:rsidRDefault="007F344A" w:rsidP="00A12ABF">
      <w:pPr>
        <w:spacing w:after="0" w:line="240" w:lineRule="auto"/>
        <w:jc w:val="both"/>
      </w:pPr>
    </w:p>
    <w:p w14:paraId="02BEDF9F" w14:textId="47502380" w:rsidR="007F344A" w:rsidRPr="008B72E0" w:rsidRDefault="00F5681C" w:rsidP="00A12ABF">
      <w:pPr>
        <w:spacing w:after="0" w:line="240" w:lineRule="auto"/>
        <w:jc w:val="both"/>
      </w:pPr>
      <w:r w:rsidRPr="000F1EFA">
        <w:t xml:space="preserve">The </w:t>
      </w:r>
      <w:r w:rsidR="00AD64B6" w:rsidRPr="000F1EFA">
        <w:t>Technical Build Support</w:t>
      </w:r>
      <w:r w:rsidRPr="000F1EFA">
        <w:t xml:space="preserve"> </w:t>
      </w:r>
      <w:r w:rsidR="00B35F53">
        <w:t>is</w:t>
      </w:r>
      <w:r w:rsidRPr="000F1EFA">
        <w:t xml:space="preserve"> based</w:t>
      </w:r>
      <w:r w:rsidR="00E76F04" w:rsidRPr="000F1EFA">
        <w:t xml:space="preserve"> at our National Office in Wellington</w:t>
      </w:r>
      <w:r w:rsidR="00522682" w:rsidRPr="000F1EFA">
        <w:t>.</w:t>
      </w:r>
    </w:p>
    <w:p w14:paraId="6F95922D" w14:textId="77777777" w:rsidR="007F344A" w:rsidRPr="008B72E0" w:rsidRDefault="007F344A" w:rsidP="00A12ABF">
      <w:pPr>
        <w:spacing w:after="0" w:line="240" w:lineRule="auto"/>
        <w:jc w:val="both"/>
      </w:pPr>
    </w:p>
    <w:p w14:paraId="5815CA20" w14:textId="77777777" w:rsidR="007F344A" w:rsidRPr="008B72E0" w:rsidRDefault="00F5681C" w:rsidP="00A12ABF">
      <w:pPr>
        <w:spacing w:after="0" w:line="240" w:lineRule="auto"/>
        <w:jc w:val="both"/>
        <w:rPr>
          <w:b/>
          <w:bCs/>
        </w:rPr>
      </w:pPr>
      <w:r w:rsidRPr="008B72E0">
        <w:rPr>
          <w:b/>
          <w:bCs/>
        </w:rPr>
        <w:t>Professional Knowledge and Experience</w:t>
      </w:r>
    </w:p>
    <w:p w14:paraId="56F80F41" w14:textId="77777777" w:rsidR="007F344A" w:rsidRPr="008B72E0" w:rsidRDefault="007F344A" w:rsidP="00A12ABF">
      <w:pPr>
        <w:spacing w:after="0" w:line="240" w:lineRule="auto"/>
        <w:jc w:val="both"/>
      </w:pPr>
    </w:p>
    <w:p w14:paraId="056E2475" w14:textId="7959ACBE" w:rsidR="007F344A" w:rsidRPr="008B72E0" w:rsidRDefault="00F5681C" w:rsidP="00AA0498">
      <w:pPr>
        <w:spacing w:after="0" w:line="276" w:lineRule="auto"/>
        <w:jc w:val="both"/>
      </w:pPr>
      <w:r w:rsidRPr="008B72E0">
        <w:t xml:space="preserve">It is essential the </w:t>
      </w:r>
      <w:r w:rsidR="003834ED" w:rsidRPr="008B72E0">
        <w:t xml:space="preserve">Technical Build Support </w:t>
      </w:r>
      <w:r w:rsidRPr="008B72E0">
        <w:t>will have:</w:t>
      </w:r>
    </w:p>
    <w:p w14:paraId="6D7948EF" w14:textId="77777777" w:rsidR="007F344A" w:rsidRPr="008B72E0" w:rsidRDefault="007F344A" w:rsidP="00AA0498">
      <w:pPr>
        <w:spacing w:after="0" w:line="276" w:lineRule="auto"/>
        <w:jc w:val="both"/>
      </w:pPr>
    </w:p>
    <w:p w14:paraId="60EFEE03" w14:textId="0C733A4D" w:rsidR="007F344A" w:rsidRPr="008B72E0" w:rsidRDefault="00F5681C" w:rsidP="00AA0498">
      <w:pPr>
        <w:pStyle w:val="ListParagraph"/>
        <w:numPr>
          <w:ilvl w:val="0"/>
          <w:numId w:val="1"/>
        </w:numPr>
        <w:spacing w:after="0" w:line="276" w:lineRule="auto"/>
        <w:jc w:val="both"/>
      </w:pPr>
      <w:r w:rsidRPr="008B72E0">
        <w:t xml:space="preserve">Tertiary qualification, preferably in Design or has </w:t>
      </w:r>
      <w:r w:rsidR="00C310A5" w:rsidRPr="008B72E0">
        <w:t>3</w:t>
      </w:r>
      <w:r w:rsidRPr="008B72E0">
        <w:t xml:space="preserve"> years’</w:t>
      </w:r>
      <w:r w:rsidR="00181437" w:rsidRPr="008B72E0">
        <w:t xml:space="preserve"> design</w:t>
      </w:r>
      <w:r w:rsidRPr="008B72E0">
        <w:t xml:space="preserve"> experience in </w:t>
      </w:r>
      <w:r w:rsidR="00D07BEE" w:rsidRPr="008B72E0">
        <w:t xml:space="preserve">instructional </w:t>
      </w:r>
      <w:r w:rsidRPr="008B72E0">
        <w:t>organisational capability development or learning and development, preferably in the social sector.</w:t>
      </w:r>
    </w:p>
    <w:p w14:paraId="6F8AC639" w14:textId="65E6AD0B" w:rsidR="007F344A" w:rsidRPr="008B72E0" w:rsidRDefault="00F5681C" w:rsidP="00AA0498">
      <w:pPr>
        <w:pStyle w:val="ListParagraph"/>
        <w:numPr>
          <w:ilvl w:val="0"/>
          <w:numId w:val="1"/>
        </w:numPr>
        <w:spacing w:after="0" w:line="276" w:lineRule="auto"/>
        <w:jc w:val="both"/>
      </w:pPr>
      <w:r w:rsidRPr="008B72E0">
        <w:t xml:space="preserve">Experience </w:t>
      </w:r>
      <w:r w:rsidR="008025EC" w:rsidRPr="008B72E0">
        <w:t>of</w:t>
      </w:r>
      <w:r w:rsidRPr="008B72E0">
        <w:t xml:space="preserve"> instructional design.</w:t>
      </w:r>
    </w:p>
    <w:p w14:paraId="4F7A82E9" w14:textId="77777777" w:rsidR="007F344A" w:rsidRPr="008B72E0" w:rsidRDefault="00F5681C" w:rsidP="00AA0498">
      <w:pPr>
        <w:pStyle w:val="ListParagraph"/>
        <w:numPr>
          <w:ilvl w:val="0"/>
          <w:numId w:val="1"/>
        </w:numPr>
        <w:spacing w:after="0" w:line="276" w:lineRule="auto"/>
        <w:jc w:val="both"/>
      </w:pPr>
      <w:r w:rsidRPr="008B72E0">
        <w:lastRenderedPageBreak/>
        <w:t xml:space="preserve">Strong computer skills and is competent using authoring tools and learning management systems, preferably experience with Articulate 360 and </w:t>
      </w:r>
      <w:proofErr w:type="spellStart"/>
      <w:r w:rsidRPr="008B72E0">
        <w:t>Learndash</w:t>
      </w:r>
      <w:proofErr w:type="spellEnd"/>
      <w:r w:rsidRPr="008B72E0">
        <w:t>.</w:t>
      </w:r>
    </w:p>
    <w:p w14:paraId="29FD0D05" w14:textId="77777777" w:rsidR="007F344A" w:rsidRPr="008B72E0" w:rsidRDefault="00F5681C" w:rsidP="00AA0498">
      <w:pPr>
        <w:pStyle w:val="ListParagraph"/>
        <w:numPr>
          <w:ilvl w:val="0"/>
          <w:numId w:val="1"/>
        </w:numPr>
        <w:spacing w:after="0" w:line="276" w:lineRule="auto"/>
        <w:jc w:val="both"/>
      </w:pPr>
      <w:r w:rsidRPr="008B72E0">
        <w:t>Experience with using a range of learning technologies.</w:t>
      </w:r>
    </w:p>
    <w:p w14:paraId="6BE953A1" w14:textId="77777777" w:rsidR="007F344A" w:rsidRPr="008B72E0" w:rsidRDefault="00F5681C" w:rsidP="00AA0498">
      <w:pPr>
        <w:pStyle w:val="ListParagraph"/>
        <w:numPr>
          <w:ilvl w:val="0"/>
          <w:numId w:val="1"/>
        </w:numPr>
        <w:spacing w:after="0" w:line="276" w:lineRule="auto"/>
        <w:jc w:val="both"/>
      </w:pPr>
      <w:r w:rsidRPr="008B72E0">
        <w:t>Competent in using multi-media assets within a variety of learning environments.</w:t>
      </w:r>
    </w:p>
    <w:p w14:paraId="51564F24" w14:textId="37C17800" w:rsidR="00D61CB6" w:rsidRPr="008B72E0" w:rsidRDefault="00F5681C" w:rsidP="00AA0498">
      <w:pPr>
        <w:pStyle w:val="ListParagraph"/>
        <w:numPr>
          <w:ilvl w:val="0"/>
          <w:numId w:val="1"/>
        </w:numPr>
        <w:spacing w:after="0" w:line="276" w:lineRule="auto"/>
        <w:jc w:val="both"/>
      </w:pPr>
      <w:r w:rsidRPr="008B72E0">
        <w:t>A</w:t>
      </w:r>
      <w:r w:rsidR="007D13B0" w:rsidRPr="008B72E0">
        <w:t xml:space="preserve">ble to </w:t>
      </w:r>
      <w:r w:rsidR="00274F4B" w:rsidRPr="008B72E0">
        <w:t xml:space="preserve">grasp </w:t>
      </w:r>
      <w:r w:rsidR="001349C6" w:rsidRPr="008B72E0">
        <w:t xml:space="preserve">and interpret </w:t>
      </w:r>
      <w:r w:rsidR="00933EA7" w:rsidRPr="008B72E0">
        <w:t>creative direction and</w:t>
      </w:r>
      <w:r w:rsidR="001349C6" w:rsidRPr="008B72E0">
        <w:t xml:space="preserve"> uses </w:t>
      </w:r>
      <w:r w:rsidR="00933EA7" w:rsidRPr="008B72E0">
        <w:t>feedback</w:t>
      </w:r>
      <w:r w:rsidR="001349C6" w:rsidRPr="008B72E0">
        <w:t xml:space="preserve"> effectively.</w:t>
      </w:r>
    </w:p>
    <w:p w14:paraId="713A2705" w14:textId="77777777" w:rsidR="007F344A" w:rsidRPr="008B72E0" w:rsidRDefault="00F5681C" w:rsidP="00AA0498">
      <w:pPr>
        <w:pStyle w:val="ListParagraph"/>
        <w:numPr>
          <w:ilvl w:val="0"/>
          <w:numId w:val="1"/>
        </w:numPr>
        <w:spacing w:after="0" w:line="276" w:lineRule="auto"/>
        <w:jc w:val="both"/>
      </w:pPr>
      <w:r w:rsidRPr="008B72E0">
        <w:t>Strong understanding of NCIWR’s cornerstones and values.</w:t>
      </w:r>
    </w:p>
    <w:p w14:paraId="5EF7DB6F" w14:textId="77777777" w:rsidR="007F344A" w:rsidRPr="008B72E0" w:rsidRDefault="00F5681C" w:rsidP="00AA0498">
      <w:pPr>
        <w:pStyle w:val="ListParagraph"/>
        <w:numPr>
          <w:ilvl w:val="0"/>
          <w:numId w:val="1"/>
        </w:numPr>
        <w:spacing w:after="0" w:line="276" w:lineRule="auto"/>
        <w:jc w:val="both"/>
      </w:pPr>
      <w:r w:rsidRPr="008B72E0">
        <w:t>Experience and understanding of working within a feminist organisation.</w:t>
      </w:r>
    </w:p>
    <w:p w14:paraId="3E202E83" w14:textId="601A5AD2" w:rsidR="007F344A" w:rsidRPr="008B72E0" w:rsidRDefault="00F5681C" w:rsidP="00AA0498">
      <w:pPr>
        <w:pStyle w:val="ListParagraph"/>
        <w:numPr>
          <w:ilvl w:val="0"/>
          <w:numId w:val="1"/>
        </w:numPr>
        <w:spacing w:after="0" w:line="276" w:lineRule="auto"/>
        <w:jc w:val="both"/>
      </w:pPr>
      <w:r w:rsidRPr="008B72E0">
        <w:t>Ability to share skills and transfer knowledge effectively.</w:t>
      </w:r>
    </w:p>
    <w:p w14:paraId="73A53FF6" w14:textId="77777777" w:rsidR="007F344A" w:rsidRPr="008B72E0" w:rsidRDefault="00F5681C" w:rsidP="00AA0498">
      <w:pPr>
        <w:pStyle w:val="ListParagraph"/>
        <w:numPr>
          <w:ilvl w:val="0"/>
          <w:numId w:val="1"/>
        </w:numPr>
        <w:spacing w:after="0" w:line="276" w:lineRule="auto"/>
        <w:jc w:val="both"/>
      </w:pPr>
      <w:r w:rsidRPr="008B72E0">
        <w:t>Highest level of integrity and promote transparency.</w:t>
      </w:r>
    </w:p>
    <w:p w14:paraId="2593C18C" w14:textId="56BC4385" w:rsidR="007F344A" w:rsidRPr="008B72E0" w:rsidRDefault="00F5681C" w:rsidP="00AA0498">
      <w:pPr>
        <w:pStyle w:val="ListParagraph"/>
        <w:numPr>
          <w:ilvl w:val="0"/>
          <w:numId w:val="1"/>
        </w:numPr>
        <w:spacing w:after="0" w:line="276" w:lineRule="auto"/>
        <w:jc w:val="both"/>
      </w:pPr>
      <w:r w:rsidRPr="008B72E0">
        <w:t>Excellent communication skills, both written and oral</w:t>
      </w:r>
      <w:r w:rsidR="00D61CB6" w:rsidRPr="008B72E0">
        <w:t xml:space="preserve">. </w:t>
      </w:r>
    </w:p>
    <w:p w14:paraId="3074D108" w14:textId="77777777" w:rsidR="007F344A" w:rsidRPr="008B72E0" w:rsidRDefault="00F5681C" w:rsidP="00AA0498">
      <w:pPr>
        <w:pStyle w:val="ListParagraph"/>
        <w:numPr>
          <w:ilvl w:val="0"/>
          <w:numId w:val="1"/>
        </w:numPr>
        <w:spacing w:after="0" w:line="276" w:lineRule="auto"/>
        <w:jc w:val="both"/>
      </w:pPr>
      <w:r w:rsidRPr="008B72E0">
        <w:t xml:space="preserve">Strong commitment and understanding of Te </w:t>
      </w:r>
      <w:proofErr w:type="spellStart"/>
      <w:r w:rsidRPr="008B72E0">
        <w:t>Tiriti</w:t>
      </w:r>
      <w:proofErr w:type="spellEnd"/>
      <w:r w:rsidRPr="008B72E0">
        <w:t xml:space="preserve"> o Waitangi.</w:t>
      </w:r>
    </w:p>
    <w:p w14:paraId="0C83EA17" w14:textId="77777777" w:rsidR="007F344A" w:rsidRPr="008B72E0" w:rsidRDefault="00F5681C" w:rsidP="00AA0498">
      <w:pPr>
        <w:pStyle w:val="ListParagraph"/>
        <w:numPr>
          <w:ilvl w:val="0"/>
          <w:numId w:val="1"/>
        </w:numPr>
        <w:spacing w:after="0" w:line="276" w:lineRule="auto"/>
        <w:jc w:val="both"/>
      </w:pPr>
      <w:r w:rsidRPr="008B72E0">
        <w:t>Legal right to live and work in Aotearoa New Zealand.</w:t>
      </w:r>
    </w:p>
    <w:p w14:paraId="3BB82117" w14:textId="77777777" w:rsidR="007F344A" w:rsidRPr="008B72E0" w:rsidRDefault="007F344A" w:rsidP="00AA0498">
      <w:pPr>
        <w:spacing w:after="0" w:line="276" w:lineRule="auto"/>
        <w:jc w:val="both"/>
      </w:pPr>
    </w:p>
    <w:p w14:paraId="4AFDD9F4" w14:textId="77777777" w:rsidR="007F344A" w:rsidRPr="008B72E0" w:rsidRDefault="00F5681C" w:rsidP="00AA0498">
      <w:pPr>
        <w:spacing w:after="0" w:line="276" w:lineRule="auto"/>
        <w:jc w:val="both"/>
        <w:rPr>
          <w:b/>
          <w:bCs/>
        </w:rPr>
      </w:pPr>
      <w:r w:rsidRPr="008B72E0">
        <w:rPr>
          <w:b/>
          <w:bCs/>
        </w:rPr>
        <w:t>Certificates, Licences, Registrations</w:t>
      </w:r>
    </w:p>
    <w:p w14:paraId="079F3884" w14:textId="77777777" w:rsidR="007F344A" w:rsidRPr="008B72E0" w:rsidRDefault="007F344A" w:rsidP="00AA0498">
      <w:pPr>
        <w:spacing w:after="0" w:line="276" w:lineRule="auto"/>
        <w:jc w:val="both"/>
      </w:pPr>
    </w:p>
    <w:p w14:paraId="0247CF63" w14:textId="77777777" w:rsidR="007F344A" w:rsidRPr="008B72E0" w:rsidRDefault="00F5681C" w:rsidP="00AA0498">
      <w:pPr>
        <w:spacing w:after="0" w:line="276" w:lineRule="auto"/>
        <w:jc w:val="both"/>
      </w:pPr>
      <w:r w:rsidRPr="008B72E0">
        <w:t xml:space="preserve">Maintain a valid Driver’s License </w:t>
      </w:r>
    </w:p>
    <w:p w14:paraId="17EBBB9F" w14:textId="77777777" w:rsidR="007F344A" w:rsidRPr="008B72E0" w:rsidRDefault="007F344A" w:rsidP="00AA0498">
      <w:pPr>
        <w:spacing w:after="0" w:line="276" w:lineRule="auto"/>
        <w:jc w:val="both"/>
      </w:pPr>
    </w:p>
    <w:p w14:paraId="385378CE" w14:textId="77777777" w:rsidR="007F344A" w:rsidRPr="008B72E0" w:rsidRDefault="00F5681C" w:rsidP="00AA0498">
      <w:pPr>
        <w:spacing w:after="0" w:line="276" w:lineRule="auto"/>
        <w:jc w:val="both"/>
        <w:rPr>
          <w:b/>
          <w:bCs/>
        </w:rPr>
      </w:pPr>
      <w:r w:rsidRPr="008B72E0">
        <w:rPr>
          <w:b/>
          <w:bCs/>
        </w:rPr>
        <w:t>Opportunity location:</w:t>
      </w:r>
    </w:p>
    <w:p w14:paraId="754E37DF" w14:textId="77777777" w:rsidR="007F344A" w:rsidRPr="008B72E0" w:rsidRDefault="007F344A" w:rsidP="00AA0498">
      <w:pPr>
        <w:spacing w:after="0" w:line="276" w:lineRule="auto"/>
        <w:jc w:val="both"/>
        <w:rPr>
          <w:b/>
          <w:bCs/>
        </w:rPr>
      </w:pPr>
    </w:p>
    <w:p w14:paraId="54C25953" w14:textId="33D6EDD2" w:rsidR="007F344A" w:rsidRPr="008B72E0" w:rsidRDefault="00522682" w:rsidP="00AA0498">
      <w:pPr>
        <w:spacing w:after="0" w:line="276" w:lineRule="auto"/>
        <w:jc w:val="both"/>
      </w:pPr>
      <w:r w:rsidRPr="00AA0498">
        <w:t>Nation</w:t>
      </w:r>
      <w:r w:rsidR="00AA0498">
        <w:t>al</w:t>
      </w:r>
      <w:r w:rsidRPr="00AA0498">
        <w:t xml:space="preserve"> Office, </w:t>
      </w:r>
      <w:r w:rsidR="00F5681C" w:rsidRPr="00AA0498">
        <w:t>Wellington</w:t>
      </w:r>
    </w:p>
    <w:p w14:paraId="1EA46CD8" w14:textId="77777777" w:rsidR="007B7220" w:rsidRPr="008B72E0" w:rsidRDefault="007B7220" w:rsidP="00AA0498">
      <w:pPr>
        <w:spacing w:after="0" w:line="276" w:lineRule="auto"/>
        <w:jc w:val="both"/>
        <w:rPr>
          <w:b/>
          <w:bCs/>
        </w:rPr>
      </w:pPr>
    </w:p>
    <w:p w14:paraId="26AA23BC" w14:textId="18B62489" w:rsidR="007F344A" w:rsidRPr="008B72E0" w:rsidRDefault="00F5681C" w:rsidP="00AA0498">
      <w:pPr>
        <w:spacing w:after="0" w:line="276" w:lineRule="auto"/>
        <w:jc w:val="both"/>
        <w:rPr>
          <w:b/>
          <w:bCs/>
        </w:rPr>
      </w:pPr>
      <w:r w:rsidRPr="008B72E0">
        <w:rPr>
          <w:b/>
          <w:bCs/>
        </w:rPr>
        <w:t>Accountability and dimensions of position:</w:t>
      </w:r>
    </w:p>
    <w:p w14:paraId="6829B9B0" w14:textId="77777777" w:rsidR="007F344A" w:rsidRPr="008B72E0" w:rsidRDefault="007F344A" w:rsidP="00AA0498">
      <w:pPr>
        <w:spacing w:after="0" w:line="276" w:lineRule="auto"/>
        <w:jc w:val="both"/>
      </w:pPr>
    </w:p>
    <w:p w14:paraId="23C57F56" w14:textId="77777777" w:rsidR="007F344A" w:rsidRPr="008B72E0" w:rsidRDefault="00F5681C" w:rsidP="00AA0498">
      <w:pPr>
        <w:spacing w:after="0" w:line="276" w:lineRule="auto"/>
        <w:jc w:val="both"/>
      </w:pPr>
      <w:r w:rsidRPr="008B72E0">
        <w:t>Number of direct reports:</w:t>
      </w:r>
      <w:r w:rsidRPr="008B72E0">
        <w:tab/>
      </w:r>
      <w:r w:rsidRPr="008B72E0">
        <w:tab/>
        <w:t>Nil</w:t>
      </w:r>
    </w:p>
    <w:p w14:paraId="6AB2DD62" w14:textId="77777777" w:rsidR="007F344A" w:rsidRPr="008B72E0" w:rsidRDefault="00F5681C" w:rsidP="00AA0498">
      <w:pPr>
        <w:spacing w:after="0" w:line="276" w:lineRule="auto"/>
        <w:jc w:val="both"/>
      </w:pPr>
      <w:r w:rsidRPr="008B72E0">
        <w:t xml:space="preserve">Other formal NCIWR delegation level: </w:t>
      </w:r>
      <w:r w:rsidRPr="008B72E0">
        <w:tab/>
        <w:t>Nil</w:t>
      </w:r>
    </w:p>
    <w:p w14:paraId="1A279689" w14:textId="77777777" w:rsidR="00522682" w:rsidRPr="008B72E0" w:rsidRDefault="00522682" w:rsidP="00AA0498">
      <w:pPr>
        <w:spacing w:after="0" w:line="276" w:lineRule="auto"/>
        <w:jc w:val="both"/>
        <w:rPr>
          <w:b/>
          <w:bCs/>
        </w:rPr>
      </w:pPr>
    </w:p>
    <w:p w14:paraId="427A1A4C" w14:textId="20F961BF" w:rsidR="007F344A" w:rsidRPr="008B72E0" w:rsidRDefault="00F5681C" w:rsidP="00AA0498">
      <w:pPr>
        <w:spacing w:after="0" w:line="276" w:lineRule="auto"/>
        <w:jc w:val="both"/>
        <w:rPr>
          <w:b/>
          <w:bCs/>
        </w:rPr>
      </w:pPr>
      <w:r w:rsidRPr="008B72E0">
        <w:rPr>
          <w:b/>
          <w:bCs/>
        </w:rPr>
        <w:t>Other requirements:</w:t>
      </w:r>
    </w:p>
    <w:p w14:paraId="614FBCC9" w14:textId="77777777" w:rsidR="007F344A" w:rsidRPr="008B72E0" w:rsidRDefault="007F344A" w:rsidP="00AA0498">
      <w:pPr>
        <w:spacing w:after="0" w:line="276" w:lineRule="auto"/>
        <w:jc w:val="both"/>
      </w:pPr>
    </w:p>
    <w:p w14:paraId="4B0A496E" w14:textId="77777777" w:rsidR="007F344A" w:rsidRPr="008B72E0" w:rsidRDefault="00F5681C" w:rsidP="00AA0498">
      <w:pPr>
        <w:pStyle w:val="ListParagraph"/>
        <w:numPr>
          <w:ilvl w:val="0"/>
          <w:numId w:val="1"/>
        </w:numPr>
        <w:spacing w:after="0" w:line="276" w:lineRule="auto"/>
        <w:jc w:val="both"/>
      </w:pPr>
      <w:r w:rsidRPr="008B72E0">
        <w:t>Ability to travel to fulfil job requirements as required.</w:t>
      </w:r>
    </w:p>
    <w:p w14:paraId="64AFD5B4" w14:textId="77777777" w:rsidR="007F344A" w:rsidRPr="008B72E0" w:rsidRDefault="00F5681C" w:rsidP="00AA0498">
      <w:pPr>
        <w:pStyle w:val="ListParagraph"/>
        <w:numPr>
          <w:ilvl w:val="0"/>
          <w:numId w:val="1"/>
        </w:numPr>
        <w:spacing w:after="0" w:line="276" w:lineRule="auto"/>
        <w:jc w:val="both"/>
      </w:pPr>
      <w:r w:rsidRPr="008B72E0">
        <w:t>Willing to fulfil other duties and requirements of the Chief Executive.</w:t>
      </w:r>
    </w:p>
    <w:p w14:paraId="48A644F0" w14:textId="77777777" w:rsidR="007F344A" w:rsidRPr="008B72E0" w:rsidRDefault="00F5681C" w:rsidP="00AA0498">
      <w:pPr>
        <w:pStyle w:val="ListParagraph"/>
        <w:numPr>
          <w:ilvl w:val="0"/>
          <w:numId w:val="1"/>
        </w:numPr>
        <w:spacing w:after="0" w:line="276" w:lineRule="auto"/>
        <w:jc w:val="both"/>
      </w:pPr>
      <w:r w:rsidRPr="008B72E0">
        <w:t>Essential to have an interest in Māori achievement and working with Māori development principles.</w:t>
      </w:r>
    </w:p>
    <w:p w14:paraId="2DAF9044" w14:textId="77777777" w:rsidR="007F344A" w:rsidRPr="008B72E0" w:rsidRDefault="007F344A" w:rsidP="00AA0498">
      <w:pPr>
        <w:spacing w:after="0" w:line="276" w:lineRule="auto"/>
        <w:jc w:val="both"/>
      </w:pPr>
    </w:p>
    <w:p w14:paraId="11A357A9" w14:textId="77777777" w:rsidR="001D4677" w:rsidRPr="008B72E0" w:rsidRDefault="001D4677" w:rsidP="00AA0498">
      <w:pPr>
        <w:spacing w:after="0" w:line="276" w:lineRule="auto"/>
        <w:jc w:val="both"/>
      </w:pPr>
    </w:p>
    <w:p w14:paraId="779C9EFA" w14:textId="77777777" w:rsidR="00A9638E" w:rsidRPr="008B72E0" w:rsidRDefault="00F5681C" w:rsidP="00AA0498">
      <w:pPr>
        <w:spacing w:after="0" w:line="276" w:lineRule="auto"/>
        <w:jc w:val="both"/>
        <w:rPr>
          <w:b/>
          <w:bCs/>
        </w:rPr>
      </w:pPr>
      <w:r w:rsidRPr="008B72E0">
        <w:rPr>
          <w:b/>
          <w:bCs/>
        </w:rPr>
        <w:t>MANDAROTRY ACHIEVEMENT AREAS FOR ALL NATIONAL OFFICE POSITIONS</w:t>
      </w:r>
    </w:p>
    <w:p w14:paraId="4E8BDC0C" w14:textId="77777777" w:rsidR="00A9638E" w:rsidRPr="008B72E0" w:rsidRDefault="00A9638E" w:rsidP="00AA0498">
      <w:pPr>
        <w:spacing w:after="0" w:line="276" w:lineRule="auto"/>
        <w:jc w:val="both"/>
        <w:rPr>
          <w:b/>
          <w:bCs/>
        </w:rPr>
      </w:pPr>
    </w:p>
    <w:p w14:paraId="13FBE15C" w14:textId="77777777" w:rsidR="00A9638E" w:rsidRPr="008B72E0" w:rsidRDefault="00F5681C" w:rsidP="00AA0498">
      <w:pPr>
        <w:spacing w:after="0" w:line="276" w:lineRule="auto"/>
        <w:jc w:val="both"/>
        <w:rPr>
          <w:b/>
          <w:bCs/>
        </w:rPr>
      </w:pPr>
      <w:r w:rsidRPr="008B72E0">
        <w:rPr>
          <w:b/>
          <w:bCs/>
        </w:rPr>
        <w:t xml:space="preserve">Parallel Development </w:t>
      </w:r>
    </w:p>
    <w:p w14:paraId="4101436A" w14:textId="77777777" w:rsidR="00A9638E" w:rsidRPr="008B72E0" w:rsidRDefault="00A9638E" w:rsidP="00AA0498">
      <w:pPr>
        <w:spacing w:after="0" w:line="276" w:lineRule="auto"/>
        <w:jc w:val="both"/>
        <w:rPr>
          <w:b/>
          <w:bCs/>
        </w:rPr>
      </w:pPr>
    </w:p>
    <w:p w14:paraId="68840DCD" w14:textId="77777777" w:rsidR="00A9638E" w:rsidRPr="008B72E0" w:rsidRDefault="00F5681C" w:rsidP="00AA0498">
      <w:pPr>
        <w:pStyle w:val="ListParagraph"/>
        <w:numPr>
          <w:ilvl w:val="0"/>
          <w:numId w:val="1"/>
        </w:numPr>
        <w:spacing w:after="0" w:line="276" w:lineRule="auto"/>
        <w:jc w:val="both"/>
      </w:pPr>
      <w:r w:rsidRPr="008B72E0">
        <w:t>Shows active leadership in applying this knowledge to ensure all work results in Māori achieving success as Māori.</w:t>
      </w:r>
    </w:p>
    <w:p w14:paraId="595C72E8" w14:textId="77777777" w:rsidR="0079692E" w:rsidRDefault="0079692E" w:rsidP="00AA0498">
      <w:pPr>
        <w:spacing w:after="0" w:line="276" w:lineRule="auto"/>
        <w:jc w:val="both"/>
      </w:pPr>
    </w:p>
    <w:p w14:paraId="072C40EF" w14:textId="77777777" w:rsidR="0079692E" w:rsidRDefault="0079692E" w:rsidP="00AA0498">
      <w:pPr>
        <w:spacing w:after="0" w:line="276" w:lineRule="auto"/>
        <w:jc w:val="both"/>
      </w:pPr>
    </w:p>
    <w:p w14:paraId="3CB04B3F" w14:textId="77777777" w:rsidR="0079692E" w:rsidRDefault="0079692E" w:rsidP="00AA0498">
      <w:pPr>
        <w:spacing w:after="0" w:line="276" w:lineRule="auto"/>
        <w:jc w:val="both"/>
      </w:pPr>
    </w:p>
    <w:p w14:paraId="05F5E001" w14:textId="77777777" w:rsidR="0079692E" w:rsidRDefault="0079692E" w:rsidP="00AA0498">
      <w:pPr>
        <w:spacing w:after="0" w:line="276" w:lineRule="auto"/>
        <w:jc w:val="both"/>
      </w:pPr>
    </w:p>
    <w:p w14:paraId="33DCD6D8" w14:textId="5243969D" w:rsidR="00A9638E" w:rsidRPr="008B72E0" w:rsidRDefault="00F5681C" w:rsidP="00AA0498">
      <w:pPr>
        <w:spacing w:after="0" w:line="276" w:lineRule="auto"/>
        <w:jc w:val="both"/>
        <w:rPr>
          <w:b/>
          <w:bCs/>
        </w:rPr>
      </w:pPr>
      <w:r w:rsidRPr="008B72E0">
        <w:rPr>
          <w:b/>
          <w:bCs/>
        </w:rPr>
        <w:lastRenderedPageBreak/>
        <w:t>Health and Safety</w:t>
      </w:r>
    </w:p>
    <w:p w14:paraId="3A2AF556" w14:textId="77777777" w:rsidR="00A9638E" w:rsidRPr="008B72E0" w:rsidRDefault="00A9638E" w:rsidP="00AA0498">
      <w:pPr>
        <w:spacing w:after="0" w:line="276" w:lineRule="auto"/>
        <w:jc w:val="both"/>
      </w:pPr>
    </w:p>
    <w:p w14:paraId="1D12A80E" w14:textId="77777777" w:rsidR="00A9638E" w:rsidRPr="008B72E0" w:rsidRDefault="00F5681C" w:rsidP="00AA0498">
      <w:pPr>
        <w:pStyle w:val="ListParagraph"/>
        <w:numPr>
          <w:ilvl w:val="0"/>
          <w:numId w:val="1"/>
        </w:numPr>
        <w:spacing w:after="0" w:line="276" w:lineRule="auto"/>
        <w:jc w:val="both"/>
      </w:pPr>
      <w:r w:rsidRPr="008B72E0">
        <w:t>Takes all practicable steps to ensure safety at work for self and team, and no action or inaction will cause harm to anyone else.</w:t>
      </w:r>
    </w:p>
    <w:p w14:paraId="6FC5E352" w14:textId="77777777" w:rsidR="00A9638E" w:rsidRPr="008B72E0" w:rsidRDefault="00F5681C" w:rsidP="00AA0498">
      <w:pPr>
        <w:pStyle w:val="ListParagraph"/>
        <w:numPr>
          <w:ilvl w:val="0"/>
          <w:numId w:val="1"/>
        </w:numPr>
        <w:spacing w:after="0" w:line="276" w:lineRule="auto"/>
        <w:jc w:val="both"/>
      </w:pPr>
      <w:r w:rsidRPr="008B72E0">
        <w:t>Reports all hazards, accidents, near misses, or unsafe conditions to the Health and Safety Representative as soon as possible.</w:t>
      </w:r>
    </w:p>
    <w:p w14:paraId="15AEB083" w14:textId="77777777" w:rsidR="00A9638E" w:rsidRPr="008B72E0" w:rsidRDefault="00F5681C" w:rsidP="00AA0498">
      <w:pPr>
        <w:pStyle w:val="ListParagraph"/>
        <w:numPr>
          <w:ilvl w:val="0"/>
          <w:numId w:val="1"/>
        </w:numPr>
        <w:spacing w:after="0" w:line="276" w:lineRule="auto"/>
        <w:jc w:val="both"/>
      </w:pPr>
      <w:r w:rsidRPr="008B72E0">
        <w:t>Observes NCIWR stated health and safety policies and guidelines.</w:t>
      </w:r>
    </w:p>
    <w:p w14:paraId="69B63E78" w14:textId="77777777" w:rsidR="00A9638E" w:rsidRPr="008B72E0" w:rsidRDefault="00F5681C" w:rsidP="00AA0498">
      <w:pPr>
        <w:pStyle w:val="ListParagraph"/>
        <w:numPr>
          <w:ilvl w:val="0"/>
          <w:numId w:val="1"/>
        </w:numPr>
        <w:spacing w:after="0" w:line="276" w:lineRule="auto"/>
        <w:jc w:val="both"/>
      </w:pPr>
      <w:r w:rsidRPr="008B72E0">
        <w:t>Knows and complies with all Health and Safety policies and guidelines.</w:t>
      </w:r>
    </w:p>
    <w:p w14:paraId="0F877A3B" w14:textId="77777777" w:rsidR="00A9638E" w:rsidRPr="008B72E0" w:rsidRDefault="00A9638E" w:rsidP="00AA0498">
      <w:pPr>
        <w:spacing w:after="0" w:line="276" w:lineRule="auto"/>
        <w:jc w:val="both"/>
      </w:pPr>
    </w:p>
    <w:p w14:paraId="5B68EDD7" w14:textId="77777777" w:rsidR="00A9638E" w:rsidRPr="008B72E0" w:rsidRDefault="00F5681C" w:rsidP="00AA0498">
      <w:pPr>
        <w:spacing w:after="0" w:line="276" w:lineRule="auto"/>
        <w:jc w:val="both"/>
        <w:rPr>
          <w:b/>
          <w:bCs/>
        </w:rPr>
      </w:pPr>
      <w:r w:rsidRPr="008B72E0">
        <w:rPr>
          <w:b/>
          <w:bCs/>
        </w:rPr>
        <w:t>Professionalism</w:t>
      </w:r>
    </w:p>
    <w:p w14:paraId="63794B16" w14:textId="77777777" w:rsidR="00A9638E" w:rsidRPr="008B72E0" w:rsidRDefault="00A9638E" w:rsidP="00AA0498">
      <w:pPr>
        <w:spacing w:after="0" w:line="276" w:lineRule="auto"/>
        <w:jc w:val="both"/>
      </w:pPr>
    </w:p>
    <w:p w14:paraId="3F42801B" w14:textId="6CC8ADC3" w:rsidR="00A9638E" w:rsidRPr="008B72E0" w:rsidRDefault="00F5681C" w:rsidP="00AA0498">
      <w:pPr>
        <w:pStyle w:val="ListParagraph"/>
        <w:numPr>
          <w:ilvl w:val="0"/>
          <w:numId w:val="1"/>
        </w:numPr>
        <w:spacing w:after="0" w:line="276" w:lineRule="auto"/>
        <w:jc w:val="both"/>
      </w:pPr>
      <w:r w:rsidRPr="008B72E0">
        <w:t>Uses their professional skills and knowledge to achiev</w:t>
      </w:r>
      <w:r w:rsidR="001479ED" w:rsidRPr="008B72E0">
        <w:t>e</w:t>
      </w:r>
      <w:r w:rsidRPr="008B72E0">
        <w:t xml:space="preserve"> success.</w:t>
      </w:r>
    </w:p>
    <w:p w14:paraId="753961F9" w14:textId="77777777" w:rsidR="00A9638E" w:rsidRPr="008B72E0" w:rsidRDefault="00F5681C" w:rsidP="00AA0498">
      <w:pPr>
        <w:pStyle w:val="ListParagraph"/>
        <w:numPr>
          <w:ilvl w:val="0"/>
          <w:numId w:val="1"/>
        </w:numPr>
        <w:spacing w:after="0" w:line="276" w:lineRule="auto"/>
        <w:jc w:val="both"/>
      </w:pPr>
      <w:r w:rsidRPr="008B72E0">
        <w:t>Articulates a vision of the NCIWR’s strategic outcomes.</w:t>
      </w:r>
    </w:p>
    <w:p w14:paraId="35708951" w14:textId="77777777" w:rsidR="00A9638E" w:rsidRPr="008B72E0" w:rsidRDefault="00F5681C" w:rsidP="00AA0498">
      <w:pPr>
        <w:pStyle w:val="ListParagraph"/>
        <w:numPr>
          <w:ilvl w:val="0"/>
          <w:numId w:val="1"/>
        </w:numPr>
        <w:spacing w:after="0" w:line="276" w:lineRule="auto"/>
        <w:jc w:val="both"/>
      </w:pPr>
      <w:r w:rsidRPr="008B72E0">
        <w:t>Challenges own thinking about how best to respond and support sustainable efforts which focus on achieving success.</w:t>
      </w:r>
    </w:p>
    <w:p w14:paraId="3950A5A5" w14:textId="77777777" w:rsidR="00A9638E" w:rsidRPr="008B72E0" w:rsidRDefault="00F5681C" w:rsidP="00AA0498">
      <w:pPr>
        <w:pStyle w:val="ListParagraph"/>
        <w:numPr>
          <w:ilvl w:val="0"/>
          <w:numId w:val="1"/>
        </w:numPr>
        <w:spacing w:after="0" w:line="276" w:lineRule="auto"/>
        <w:jc w:val="both"/>
      </w:pPr>
      <w:r w:rsidRPr="008B72E0">
        <w:t>Promotes a positive attitude towards change.</w:t>
      </w:r>
    </w:p>
    <w:p w14:paraId="65EF6DC7" w14:textId="77777777" w:rsidR="00A9638E" w:rsidRPr="008B72E0" w:rsidRDefault="00F5681C" w:rsidP="00AA0498">
      <w:pPr>
        <w:pStyle w:val="ListParagraph"/>
        <w:numPr>
          <w:ilvl w:val="0"/>
          <w:numId w:val="1"/>
        </w:numPr>
        <w:spacing w:after="0" w:line="276" w:lineRule="auto"/>
        <w:jc w:val="both"/>
      </w:pPr>
      <w:r w:rsidRPr="008B72E0">
        <w:t>Represents and promotes challenge.</w:t>
      </w:r>
    </w:p>
    <w:p w14:paraId="2D534608" w14:textId="77777777" w:rsidR="00A9638E" w:rsidRPr="008B72E0" w:rsidRDefault="00F5681C" w:rsidP="00AA0498">
      <w:pPr>
        <w:pStyle w:val="ListParagraph"/>
        <w:numPr>
          <w:ilvl w:val="0"/>
          <w:numId w:val="1"/>
        </w:numPr>
        <w:spacing w:after="0" w:line="276" w:lineRule="auto"/>
        <w:jc w:val="both"/>
      </w:pPr>
      <w:r w:rsidRPr="008B72E0">
        <w:t>Adopts a range of leadership styles to enable others to grow from learning around Māori achieving success.</w:t>
      </w:r>
    </w:p>
    <w:p w14:paraId="6EB27978" w14:textId="77777777" w:rsidR="00A9638E" w:rsidRPr="008B72E0" w:rsidRDefault="00F5681C" w:rsidP="00AA0498">
      <w:pPr>
        <w:pStyle w:val="ListParagraph"/>
        <w:numPr>
          <w:ilvl w:val="0"/>
          <w:numId w:val="1"/>
        </w:numPr>
        <w:spacing w:after="0" w:line="276" w:lineRule="auto"/>
        <w:jc w:val="both"/>
      </w:pPr>
      <w:r w:rsidRPr="008B72E0">
        <w:t>Encourages teamwork and cooperation.</w:t>
      </w:r>
    </w:p>
    <w:p w14:paraId="4FEAE542" w14:textId="77777777" w:rsidR="00A9638E" w:rsidRPr="008B72E0" w:rsidRDefault="00F5681C" w:rsidP="00AA0498">
      <w:pPr>
        <w:pStyle w:val="ListParagraph"/>
        <w:numPr>
          <w:ilvl w:val="0"/>
          <w:numId w:val="1"/>
        </w:numPr>
        <w:spacing w:after="0" w:line="276" w:lineRule="auto"/>
        <w:jc w:val="both"/>
      </w:pPr>
      <w:r w:rsidRPr="008B72E0">
        <w:t>Promotes a strong stakeholder focus.</w:t>
      </w:r>
    </w:p>
    <w:p w14:paraId="0169E7C7" w14:textId="77777777" w:rsidR="00A9638E" w:rsidRPr="008B72E0" w:rsidRDefault="00F5681C" w:rsidP="00AA0498">
      <w:pPr>
        <w:pStyle w:val="ListParagraph"/>
        <w:numPr>
          <w:ilvl w:val="0"/>
          <w:numId w:val="1"/>
        </w:numPr>
        <w:spacing w:after="0" w:line="276" w:lineRule="auto"/>
        <w:jc w:val="both"/>
      </w:pPr>
      <w:r w:rsidRPr="008B72E0">
        <w:t>Manages and develop own training and professional development within allocated budget.</w:t>
      </w:r>
    </w:p>
    <w:p w14:paraId="56ED65C1" w14:textId="77777777" w:rsidR="00A9638E" w:rsidRPr="008B72E0" w:rsidRDefault="00A9638E" w:rsidP="00AA0498">
      <w:pPr>
        <w:spacing w:after="0" w:line="276" w:lineRule="auto"/>
        <w:jc w:val="both"/>
      </w:pPr>
    </w:p>
    <w:p w14:paraId="6C657A3F" w14:textId="77777777" w:rsidR="00A9638E" w:rsidRPr="008B72E0" w:rsidRDefault="00F5681C" w:rsidP="00A12ABF">
      <w:pPr>
        <w:spacing w:after="0" w:line="240" w:lineRule="auto"/>
        <w:jc w:val="both"/>
        <w:rPr>
          <w:b/>
          <w:bCs/>
        </w:rPr>
      </w:pPr>
      <w:r w:rsidRPr="008B72E0">
        <w:rPr>
          <w:b/>
          <w:bCs/>
        </w:rPr>
        <w:t>Compliance with legislative requirements and NCIWR policy</w:t>
      </w:r>
    </w:p>
    <w:p w14:paraId="0C0FC617" w14:textId="77777777" w:rsidR="00A9638E" w:rsidRPr="008B72E0" w:rsidRDefault="00A9638E" w:rsidP="00A12ABF">
      <w:pPr>
        <w:spacing w:after="0" w:line="240" w:lineRule="auto"/>
        <w:jc w:val="both"/>
      </w:pPr>
    </w:p>
    <w:p w14:paraId="542F15EE" w14:textId="77777777" w:rsidR="00A9638E" w:rsidRPr="008B72E0" w:rsidRDefault="00F5681C" w:rsidP="00A12ABF">
      <w:pPr>
        <w:pStyle w:val="ListParagraph"/>
        <w:numPr>
          <w:ilvl w:val="0"/>
          <w:numId w:val="1"/>
        </w:numPr>
        <w:spacing w:after="0" w:line="240" w:lineRule="auto"/>
        <w:jc w:val="both"/>
      </w:pPr>
      <w:r w:rsidRPr="008B72E0">
        <w:t>Knows and monitors compliance against all NCIWR policies and guidelines.</w:t>
      </w:r>
    </w:p>
    <w:p w14:paraId="2D69206E" w14:textId="77777777" w:rsidR="00A9638E" w:rsidRPr="008B72E0" w:rsidRDefault="00A9638E" w:rsidP="00A12ABF">
      <w:pPr>
        <w:spacing w:after="0" w:line="240" w:lineRule="auto"/>
        <w:jc w:val="both"/>
      </w:pPr>
    </w:p>
    <w:p w14:paraId="350DF50D" w14:textId="77777777" w:rsidR="00A9638E" w:rsidRPr="008B72E0" w:rsidRDefault="00F5681C" w:rsidP="00A12ABF">
      <w:pPr>
        <w:spacing w:after="0" w:line="240" w:lineRule="auto"/>
        <w:jc w:val="both"/>
        <w:rPr>
          <w:b/>
          <w:bCs/>
        </w:rPr>
      </w:pPr>
      <w:r w:rsidRPr="008B72E0">
        <w:rPr>
          <w:b/>
          <w:bCs/>
        </w:rPr>
        <w:t>Business Continuity Planning</w:t>
      </w:r>
    </w:p>
    <w:p w14:paraId="737ECC6F" w14:textId="77777777" w:rsidR="00A9638E" w:rsidRPr="008B72E0" w:rsidRDefault="00A9638E" w:rsidP="00A12ABF">
      <w:pPr>
        <w:spacing w:after="0" w:line="240" w:lineRule="auto"/>
        <w:jc w:val="both"/>
      </w:pPr>
    </w:p>
    <w:p w14:paraId="6275C0EC" w14:textId="77777777" w:rsidR="00A9638E" w:rsidRPr="008B72E0" w:rsidRDefault="00F5681C" w:rsidP="00A12ABF">
      <w:pPr>
        <w:pStyle w:val="ListParagraph"/>
        <w:numPr>
          <w:ilvl w:val="0"/>
          <w:numId w:val="1"/>
        </w:numPr>
        <w:spacing w:after="0" w:line="240" w:lineRule="auto"/>
        <w:jc w:val="both"/>
      </w:pPr>
      <w:r w:rsidRPr="008B72E0">
        <w:t>Develops and maintains a business continuity/pandemic plan for all areas of responsibility.</w:t>
      </w:r>
    </w:p>
    <w:p w14:paraId="5A770EA6" w14:textId="77777777" w:rsidR="00A9638E" w:rsidRPr="008B72E0" w:rsidRDefault="00F5681C" w:rsidP="00A12ABF">
      <w:pPr>
        <w:spacing w:after="0"/>
        <w:jc w:val="both"/>
      </w:pPr>
      <w:r w:rsidRPr="008B72E0">
        <w:br w:type="page"/>
      </w:r>
    </w:p>
    <w:p w14:paraId="2479EC3E" w14:textId="77777777" w:rsidR="00A9638E" w:rsidRPr="0079692E" w:rsidRDefault="00F5681C" w:rsidP="00A12ABF">
      <w:pPr>
        <w:spacing w:after="0" w:line="240" w:lineRule="auto"/>
        <w:jc w:val="both"/>
        <w:rPr>
          <w:b/>
          <w:bCs/>
          <w:sz w:val="24"/>
          <w:szCs w:val="24"/>
        </w:rPr>
      </w:pPr>
      <w:r w:rsidRPr="0079692E">
        <w:rPr>
          <w:b/>
          <w:bCs/>
          <w:sz w:val="24"/>
          <w:szCs w:val="24"/>
        </w:rPr>
        <w:lastRenderedPageBreak/>
        <w:t>SCHEDULE 2</w:t>
      </w:r>
    </w:p>
    <w:p w14:paraId="7468DC9D" w14:textId="77777777" w:rsidR="00A9638E" w:rsidRPr="008B72E0" w:rsidRDefault="00A9638E" w:rsidP="00A12ABF">
      <w:pPr>
        <w:spacing w:after="0" w:line="240" w:lineRule="auto"/>
        <w:jc w:val="both"/>
      </w:pPr>
    </w:p>
    <w:p w14:paraId="75E467EC" w14:textId="77777777" w:rsidR="00A9638E" w:rsidRPr="00A5207C" w:rsidRDefault="00F5681C" w:rsidP="00A12ABF">
      <w:pPr>
        <w:pBdr>
          <w:bottom w:val="single" w:sz="12" w:space="1" w:color="auto"/>
        </w:pBdr>
        <w:spacing w:after="0" w:line="240" w:lineRule="auto"/>
        <w:jc w:val="both"/>
        <w:rPr>
          <w:b/>
          <w:bCs/>
          <w:color w:val="156082" w:themeColor="accent1"/>
          <w:sz w:val="28"/>
          <w:szCs w:val="28"/>
        </w:rPr>
      </w:pPr>
      <w:r w:rsidRPr="00A5207C">
        <w:rPr>
          <w:b/>
          <w:bCs/>
          <w:color w:val="156082" w:themeColor="accent1"/>
          <w:sz w:val="28"/>
          <w:szCs w:val="28"/>
        </w:rPr>
        <w:t>What is an employment relationship problem?</w:t>
      </w:r>
    </w:p>
    <w:p w14:paraId="5673B05C" w14:textId="77777777" w:rsidR="00A9638E" w:rsidRPr="008B72E0" w:rsidRDefault="00A9638E" w:rsidP="00A12ABF">
      <w:pPr>
        <w:spacing w:after="0" w:line="240" w:lineRule="auto"/>
        <w:jc w:val="both"/>
      </w:pPr>
    </w:p>
    <w:p w14:paraId="2F419B5B" w14:textId="77777777" w:rsidR="00A9638E" w:rsidRPr="008B72E0" w:rsidRDefault="00F5681C" w:rsidP="00A12ABF">
      <w:pPr>
        <w:spacing w:after="0" w:line="240" w:lineRule="auto"/>
        <w:jc w:val="both"/>
      </w:pPr>
      <w:r w:rsidRPr="008B72E0">
        <w:t>It can be anything which harms or may harm the employment relationship, other than problems relating to setting the terms and conditions of employment.</w:t>
      </w:r>
    </w:p>
    <w:p w14:paraId="02F1B50C" w14:textId="77777777" w:rsidR="00A9638E" w:rsidRPr="008B72E0" w:rsidRDefault="00A9638E" w:rsidP="00A12ABF">
      <w:pPr>
        <w:spacing w:after="0" w:line="240" w:lineRule="auto"/>
        <w:jc w:val="both"/>
      </w:pPr>
    </w:p>
    <w:p w14:paraId="0DBB4FAD" w14:textId="77777777" w:rsidR="00A9638E" w:rsidRPr="00A5207C" w:rsidRDefault="00F5681C" w:rsidP="00A12ABF">
      <w:pPr>
        <w:spacing w:after="0" w:line="240" w:lineRule="auto"/>
        <w:jc w:val="both"/>
        <w:rPr>
          <w:b/>
          <w:bCs/>
          <w:color w:val="156082" w:themeColor="accent1"/>
        </w:rPr>
      </w:pPr>
      <w:r w:rsidRPr="00A5207C">
        <w:rPr>
          <w:b/>
          <w:bCs/>
          <w:color w:val="156082" w:themeColor="accent1"/>
        </w:rPr>
        <w:t>Clarify the problem</w:t>
      </w:r>
    </w:p>
    <w:p w14:paraId="65EC49CF" w14:textId="77777777" w:rsidR="00A9638E" w:rsidRPr="008B72E0" w:rsidRDefault="00A9638E" w:rsidP="00A12ABF">
      <w:pPr>
        <w:spacing w:after="0" w:line="240" w:lineRule="auto"/>
        <w:jc w:val="both"/>
      </w:pPr>
    </w:p>
    <w:p w14:paraId="34D87041" w14:textId="77777777" w:rsidR="00A9638E" w:rsidRPr="008B72E0" w:rsidRDefault="00F5681C" w:rsidP="00A12ABF">
      <w:pPr>
        <w:spacing w:after="0" w:line="240" w:lineRule="auto"/>
        <w:jc w:val="both"/>
      </w:pPr>
      <w:r w:rsidRPr="008B72E0">
        <w:t>If either the Employer or Employee feels there may be a problem in the employment relationship, the first step is to check the facts and make sure there really is a problem, and not simply a misunderstanding.</w:t>
      </w:r>
    </w:p>
    <w:p w14:paraId="6E573039" w14:textId="77777777" w:rsidR="00A9638E" w:rsidRPr="008B72E0" w:rsidRDefault="00A9638E" w:rsidP="00A12ABF">
      <w:pPr>
        <w:spacing w:after="0" w:line="240" w:lineRule="auto"/>
        <w:jc w:val="both"/>
      </w:pPr>
    </w:p>
    <w:p w14:paraId="21E1E6E8" w14:textId="77777777" w:rsidR="00A9638E" w:rsidRPr="008B72E0" w:rsidRDefault="00F5681C" w:rsidP="00A12ABF">
      <w:pPr>
        <w:spacing w:after="0" w:line="240" w:lineRule="auto"/>
        <w:jc w:val="both"/>
      </w:pPr>
      <w:r w:rsidRPr="008B72E0">
        <w:t>Either party might want to discuss a situation with someone else to clarify whether a problem exists, but in doing so they should take care to respect the privacy of other Employees and managers, and to protect confidential information belonging to the Employer. For example, the Employee could seek information from:</w:t>
      </w:r>
    </w:p>
    <w:p w14:paraId="726410D8" w14:textId="77777777" w:rsidR="00A9638E" w:rsidRPr="008B72E0" w:rsidRDefault="00F5681C" w:rsidP="00A12ABF">
      <w:pPr>
        <w:pStyle w:val="ListParagraph"/>
        <w:numPr>
          <w:ilvl w:val="0"/>
          <w:numId w:val="1"/>
        </w:numPr>
        <w:spacing w:after="0" w:line="240" w:lineRule="auto"/>
        <w:jc w:val="both"/>
      </w:pPr>
      <w:r w:rsidRPr="008B72E0">
        <w:t>Friends and family</w:t>
      </w:r>
    </w:p>
    <w:p w14:paraId="03E72203" w14:textId="77777777" w:rsidR="00A9638E" w:rsidRPr="008B72E0" w:rsidRDefault="00F5681C" w:rsidP="00A12ABF">
      <w:pPr>
        <w:pStyle w:val="ListParagraph"/>
        <w:numPr>
          <w:ilvl w:val="0"/>
          <w:numId w:val="1"/>
        </w:numPr>
        <w:spacing w:after="0" w:line="240" w:lineRule="auto"/>
        <w:jc w:val="both"/>
      </w:pPr>
      <w:r w:rsidRPr="008B72E0">
        <w:t xml:space="preserve">The employment relations info line on 0800 800 863 or on its website at </w:t>
      </w:r>
      <w:hyperlink r:id="rId11" w:history="1">
        <w:r w:rsidR="00A9638E" w:rsidRPr="008B72E0">
          <w:rPr>
            <w:rStyle w:val="Hyperlink"/>
          </w:rPr>
          <w:t>www.ers.dol.govt.nz</w:t>
        </w:r>
      </w:hyperlink>
    </w:p>
    <w:p w14:paraId="55108429" w14:textId="77777777" w:rsidR="00A9638E" w:rsidRPr="008B72E0" w:rsidRDefault="00F5681C" w:rsidP="00A12ABF">
      <w:pPr>
        <w:pStyle w:val="ListParagraph"/>
        <w:spacing w:after="0" w:line="240" w:lineRule="auto"/>
        <w:jc w:val="both"/>
      </w:pPr>
      <w:r w:rsidRPr="008B72E0">
        <w:t>Pamphlets/fact sheets from the Employment Relations Service.</w:t>
      </w:r>
    </w:p>
    <w:p w14:paraId="75AB0623" w14:textId="77777777" w:rsidR="00A9638E" w:rsidRPr="008B72E0" w:rsidRDefault="00F5681C" w:rsidP="00A12ABF">
      <w:pPr>
        <w:pStyle w:val="ListParagraph"/>
        <w:numPr>
          <w:ilvl w:val="0"/>
          <w:numId w:val="1"/>
        </w:numPr>
        <w:spacing w:after="0" w:line="240" w:lineRule="auto"/>
        <w:jc w:val="both"/>
      </w:pPr>
      <w:r w:rsidRPr="008B72E0">
        <w:t>Their union (if they are a union member), a lawyer, a community law centre or an employee relations consultant.</w:t>
      </w:r>
    </w:p>
    <w:p w14:paraId="3D176679" w14:textId="77777777" w:rsidR="00A9638E" w:rsidRPr="008B72E0" w:rsidRDefault="00A9638E" w:rsidP="00A12ABF">
      <w:pPr>
        <w:spacing w:after="0" w:line="240" w:lineRule="auto"/>
        <w:jc w:val="both"/>
        <w:rPr>
          <w:b/>
          <w:bCs/>
        </w:rPr>
      </w:pPr>
    </w:p>
    <w:p w14:paraId="45C3103D" w14:textId="77777777" w:rsidR="00A9638E" w:rsidRPr="00A5207C" w:rsidRDefault="00F5681C" w:rsidP="00A12ABF">
      <w:pPr>
        <w:spacing w:after="0" w:line="240" w:lineRule="auto"/>
        <w:jc w:val="both"/>
        <w:rPr>
          <w:b/>
          <w:bCs/>
          <w:color w:val="156082" w:themeColor="accent1"/>
        </w:rPr>
      </w:pPr>
      <w:r w:rsidRPr="00A5207C">
        <w:rPr>
          <w:b/>
          <w:bCs/>
          <w:color w:val="156082" w:themeColor="accent1"/>
        </w:rPr>
        <w:t>Discuss the problem</w:t>
      </w:r>
    </w:p>
    <w:p w14:paraId="6752DDA8" w14:textId="77777777" w:rsidR="00A9638E" w:rsidRPr="00A5207C" w:rsidRDefault="00A9638E" w:rsidP="00A12ABF">
      <w:pPr>
        <w:spacing w:after="0" w:line="240" w:lineRule="auto"/>
        <w:jc w:val="both"/>
        <w:rPr>
          <w:color w:val="156082" w:themeColor="accent1"/>
        </w:rPr>
      </w:pPr>
    </w:p>
    <w:p w14:paraId="710E6CA4" w14:textId="77777777" w:rsidR="00A9638E" w:rsidRPr="008B72E0" w:rsidRDefault="00F5681C" w:rsidP="00A12ABF">
      <w:pPr>
        <w:spacing w:after="0" w:line="240" w:lineRule="auto"/>
        <w:jc w:val="both"/>
      </w:pPr>
      <w:r w:rsidRPr="008B72E0">
        <w:t xml:space="preserve">If either party considers there is a problem, it should be raised as soon as possible. This can be done in writing or verbally. </w:t>
      </w:r>
    </w:p>
    <w:p w14:paraId="516ABE06" w14:textId="77777777" w:rsidR="00A9638E" w:rsidRPr="008B72E0" w:rsidRDefault="00A9638E" w:rsidP="00A12ABF">
      <w:pPr>
        <w:spacing w:after="0" w:line="240" w:lineRule="auto"/>
        <w:jc w:val="both"/>
      </w:pPr>
    </w:p>
    <w:p w14:paraId="0708BC22" w14:textId="77777777" w:rsidR="00A9638E" w:rsidRPr="008B72E0" w:rsidRDefault="00F5681C" w:rsidP="00A12ABF">
      <w:pPr>
        <w:spacing w:after="0" w:line="240" w:lineRule="auto"/>
        <w:jc w:val="both"/>
      </w:pPr>
      <w:r w:rsidRPr="008B72E0">
        <w:t>Firstly, raiser your concern with the individual concerned.</w:t>
      </w:r>
    </w:p>
    <w:p w14:paraId="7526108E" w14:textId="77777777" w:rsidR="00A9638E" w:rsidRPr="008B72E0" w:rsidRDefault="00A9638E" w:rsidP="00A12ABF">
      <w:pPr>
        <w:spacing w:after="0" w:line="240" w:lineRule="auto"/>
        <w:jc w:val="both"/>
      </w:pPr>
    </w:p>
    <w:p w14:paraId="50561E3B" w14:textId="77777777" w:rsidR="00A9638E" w:rsidRPr="008B72E0" w:rsidRDefault="00F5681C" w:rsidP="00A12ABF">
      <w:pPr>
        <w:pStyle w:val="ListParagraph"/>
        <w:numPr>
          <w:ilvl w:val="0"/>
          <w:numId w:val="2"/>
        </w:numPr>
        <w:spacing w:after="0" w:line="276" w:lineRule="auto"/>
        <w:jc w:val="both"/>
      </w:pPr>
      <w:r w:rsidRPr="008B72E0">
        <w:t>If the concern is not resolved directly, the matter should be escalated to the individual’s direct manager.</w:t>
      </w:r>
    </w:p>
    <w:p w14:paraId="12D2A703" w14:textId="77777777" w:rsidR="00A9638E" w:rsidRPr="008B72E0" w:rsidRDefault="00F5681C" w:rsidP="00A12ABF">
      <w:pPr>
        <w:pStyle w:val="ListParagraph"/>
        <w:numPr>
          <w:ilvl w:val="0"/>
          <w:numId w:val="2"/>
        </w:numPr>
        <w:spacing w:after="0" w:line="276" w:lineRule="auto"/>
        <w:jc w:val="both"/>
      </w:pPr>
      <w:r w:rsidRPr="008B72E0">
        <w:t>If the Employee is uncomfortable about approaching the individual’s direct manager, the matter should be referred to another appropriate manager.</w:t>
      </w:r>
    </w:p>
    <w:p w14:paraId="365DCEF2" w14:textId="77777777" w:rsidR="00A9638E" w:rsidRPr="008B72E0" w:rsidRDefault="00F5681C" w:rsidP="00A12ABF">
      <w:pPr>
        <w:pStyle w:val="ListParagraph"/>
        <w:numPr>
          <w:ilvl w:val="0"/>
          <w:numId w:val="2"/>
        </w:numPr>
        <w:spacing w:after="0" w:line="276" w:lineRule="auto"/>
        <w:jc w:val="both"/>
      </w:pPr>
      <w:r w:rsidRPr="008B72E0">
        <w:t>A meeting will usually then be arranged where the problem can be discussed. The Employee should feel free to bring a support person with them to the meeting if they wish.</w:t>
      </w:r>
    </w:p>
    <w:p w14:paraId="47D8DDE0" w14:textId="77777777" w:rsidR="00A9638E" w:rsidRPr="008B72E0" w:rsidRDefault="00F5681C" w:rsidP="00A12ABF">
      <w:pPr>
        <w:pStyle w:val="ListParagraph"/>
        <w:numPr>
          <w:ilvl w:val="0"/>
          <w:numId w:val="2"/>
        </w:numPr>
        <w:spacing w:after="0" w:line="276" w:lineRule="auto"/>
        <w:jc w:val="both"/>
      </w:pPr>
      <w:r w:rsidRPr="008B72E0">
        <w:t>The parties will then try to establish the facts of the problem and discuss possible solutions.</w:t>
      </w:r>
    </w:p>
    <w:p w14:paraId="65C4AA8C" w14:textId="77777777" w:rsidR="00A9638E" w:rsidRPr="008B72E0" w:rsidRDefault="00A9638E" w:rsidP="00A12ABF">
      <w:pPr>
        <w:spacing w:after="0" w:line="240" w:lineRule="auto"/>
        <w:jc w:val="both"/>
      </w:pPr>
    </w:p>
    <w:p w14:paraId="44CFA456" w14:textId="77777777" w:rsidR="00A9638E" w:rsidRPr="00A5207C" w:rsidRDefault="00F5681C" w:rsidP="00A12ABF">
      <w:pPr>
        <w:spacing w:after="0" w:line="240" w:lineRule="auto"/>
        <w:jc w:val="both"/>
        <w:rPr>
          <w:b/>
          <w:bCs/>
          <w:color w:val="156082" w:themeColor="accent1"/>
        </w:rPr>
      </w:pPr>
      <w:r w:rsidRPr="00A5207C">
        <w:rPr>
          <w:b/>
          <w:bCs/>
          <w:color w:val="156082" w:themeColor="accent1"/>
        </w:rPr>
        <w:t>The Next Steps</w:t>
      </w:r>
    </w:p>
    <w:p w14:paraId="6CE04B29" w14:textId="77777777" w:rsidR="00A9638E" w:rsidRPr="008B72E0" w:rsidRDefault="00A9638E" w:rsidP="00A12ABF">
      <w:pPr>
        <w:spacing w:after="0" w:line="240" w:lineRule="auto"/>
        <w:jc w:val="both"/>
      </w:pPr>
    </w:p>
    <w:p w14:paraId="73B04E84" w14:textId="77777777" w:rsidR="00A9638E" w:rsidRPr="008B72E0" w:rsidRDefault="00F5681C" w:rsidP="00A12ABF">
      <w:pPr>
        <w:spacing w:after="0" w:line="240" w:lineRule="auto"/>
        <w:jc w:val="both"/>
      </w:pPr>
      <w:r w:rsidRPr="008B72E0">
        <w:t>If the parties are not able to resolve the problem by talking to each other a number of options exist:</w:t>
      </w:r>
    </w:p>
    <w:p w14:paraId="4DC10A13" w14:textId="77777777" w:rsidR="00A9638E" w:rsidRPr="008B72E0" w:rsidRDefault="00A9638E" w:rsidP="00A12ABF">
      <w:pPr>
        <w:spacing w:after="0" w:line="240" w:lineRule="auto"/>
        <w:jc w:val="both"/>
      </w:pPr>
    </w:p>
    <w:p w14:paraId="01AC58F1" w14:textId="77777777" w:rsidR="00A9638E" w:rsidRPr="008B72E0" w:rsidRDefault="00F5681C" w:rsidP="00A12ABF">
      <w:pPr>
        <w:pStyle w:val="ListParagraph"/>
        <w:numPr>
          <w:ilvl w:val="0"/>
          <w:numId w:val="1"/>
        </w:numPr>
        <w:spacing w:after="0" w:line="240" w:lineRule="auto"/>
        <w:jc w:val="both"/>
      </w:pPr>
      <w:r w:rsidRPr="008B72E0">
        <w:t>The Employee can contact the appropriate Core Group Staff Representative</w:t>
      </w:r>
    </w:p>
    <w:p w14:paraId="4BDCC774" w14:textId="77777777" w:rsidR="00A9638E" w:rsidRPr="008B72E0" w:rsidRDefault="00F5681C" w:rsidP="00A12ABF">
      <w:pPr>
        <w:pStyle w:val="ListParagraph"/>
        <w:numPr>
          <w:ilvl w:val="0"/>
          <w:numId w:val="1"/>
        </w:numPr>
        <w:spacing w:after="0" w:line="240" w:lineRule="auto"/>
        <w:jc w:val="both"/>
      </w:pPr>
      <w:r w:rsidRPr="008B72E0">
        <w:t>Either party can contact the Employment Relations Infoline, who can provide information and or refer the parties to mediation.</w:t>
      </w:r>
    </w:p>
    <w:p w14:paraId="6FDC85EE" w14:textId="77777777" w:rsidR="00A9638E" w:rsidRPr="008B72E0" w:rsidRDefault="00F5681C" w:rsidP="00A12ABF">
      <w:pPr>
        <w:pStyle w:val="ListParagraph"/>
        <w:numPr>
          <w:ilvl w:val="0"/>
          <w:numId w:val="1"/>
        </w:numPr>
        <w:spacing w:after="0" w:line="240" w:lineRule="auto"/>
        <w:jc w:val="both"/>
      </w:pPr>
      <w:r w:rsidRPr="008B72E0">
        <w:lastRenderedPageBreak/>
        <w:t>Depending on the nature of the problem, the issues involved may also be ones the Labour Inspectors employed by the Department of Labour can assist with, i.e. minimum statutory entitlements such as holiday, leave or wages provision.</w:t>
      </w:r>
    </w:p>
    <w:p w14:paraId="7A0AF5AA" w14:textId="77777777" w:rsidR="00A9638E" w:rsidRPr="008B72E0" w:rsidRDefault="00F5681C" w:rsidP="00A12ABF">
      <w:pPr>
        <w:pStyle w:val="ListParagraph"/>
        <w:numPr>
          <w:ilvl w:val="0"/>
          <w:numId w:val="1"/>
        </w:numPr>
        <w:spacing w:after="0" w:line="240" w:lineRule="auto"/>
        <w:jc w:val="both"/>
      </w:pPr>
      <w:r w:rsidRPr="008B72E0">
        <w:t>Either party can take part in mediation provided by the Employment Relations Service (or the parties can agree to obtain the services of an independent mediator)</w:t>
      </w:r>
    </w:p>
    <w:p w14:paraId="117F84DB" w14:textId="77777777" w:rsidR="00A9638E" w:rsidRPr="008B72E0" w:rsidRDefault="00F5681C" w:rsidP="00A12ABF">
      <w:pPr>
        <w:pStyle w:val="ListParagraph"/>
        <w:numPr>
          <w:ilvl w:val="0"/>
          <w:numId w:val="1"/>
        </w:numPr>
        <w:spacing w:after="0" w:line="240" w:lineRule="auto"/>
        <w:jc w:val="both"/>
      </w:pPr>
      <w:r w:rsidRPr="008B72E0">
        <w:t>If the parties reach agreement, a mediator provided by the ERS can sign the agreed settlement, which will then be binding on the parties.</w:t>
      </w:r>
    </w:p>
    <w:p w14:paraId="6418700B" w14:textId="77777777" w:rsidR="00A9638E" w:rsidRPr="008B72E0" w:rsidRDefault="00F5681C" w:rsidP="00A12ABF">
      <w:pPr>
        <w:pStyle w:val="ListParagraph"/>
        <w:numPr>
          <w:ilvl w:val="0"/>
          <w:numId w:val="1"/>
        </w:numPr>
        <w:spacing w:after="0" w:line="240" w:lineRule="auto"/>
        <w:jc w:val="both"/>
      </w:pPr>
      <w:r w:rsidRPr="008B72E0">
        <w:t xml:space="preserve">If the mediation does not resolve the problem, either party can refer the problem to the Employment Relations Authority for investigation. </w:t>
      </w:r>
    </w:p>
    <w:p w14:paraId="188F2F77" w14:textId="77777777" w:rsidR="00A9638E" w:rsidRPr="008B72E0" w:rsidRDefault="00F5681C" w:rsidP="00A12ABF">
      <w:pPr>
        <w:pStyle w:val="ListParagraph"/>
        <w:numPr>
          <w:ilvl w:val="0"/>
          <w:numId w:val="1"/>
        </w:numPr>
        <w:spacing w:after="0" w:line="240" w:lineRule="auto"/>
        <w:jc w:val="both"/>
      </w:pPr>
      <w:r w:rsidRPr="008B72E0">
        <w:t xml:space="preserve">The Authority can direct the parties to mediation or can investigate the problem and issue a determination. </w:t>
      </w:r>
    </w:p>
    <w:p w14:paraId="481C970F" w14:textId="77777777" w:rsidR="00A9638E" w:rsidRPr="008B72E0" w:rsidRDefault="00F5681C" w:rsidP="00A12ABF">
      <w:pPr>
        <w:pStyle w:val="ListParagraph"/>
        <w:numPr>
          <w:ilvl w:val="0"/>
          <w:numId w:val="1"/>
        </w:numPr>
        <w:spacing w:after="0" w:line="240" w:lineRule="auto"/>
        <w:jc w:val="both"/>
      </w:pPr>
      <w:r w:rsidRPr="008B72E0">
        <w:t>If one of other of the parties is not happy with the Authority’s determination, they can refer the problem to the Employment Court.</w:t>
      </w:r>
    </w:p>
    <w:p w14:paraId="0BDC0873" w14:textId="77777777" w:rsidR="00A9638E" w:rsidRPr="008B72E0" w:rsidRDefault="00A9638E" w:rsidP="00A12ABF">
      <w:pPr>
        <w:spacing w:after="0" w:line="240" w:lineRule="auto"/>
        <w:jc w:val="both"/>
      </w:pPr>
    </w:p>
    <w:p w14:paraId="133CC9C5" w14:textId="77777777" w:rsidR="00A9638E" w:rsidRPr="008B72E0" w:rsidRDefault="00F5681C" w:rsidP="00A12ABF">
      <w:pPr>
        <w:spacing w:after="0" w:line="240" w:lineRule="auto"/>
        <w:jc w:val="both"/>
      </w:pPr>
      <w:r w:rsidRPr="008B72E0">
        <w:t>In limited cases, there is a right to appeal a decision of the Employment Court to the Court of Appeal.</w:t>
      </w:r>
    </w:p>
    <w:p w14:paraId="089E8721" w14:textId="77777777" w:rsidR="003F7E46" w:rsidRPr="008B72E0" w:rsidRDefault="003F7E46" w:rsidP="00A12ABF">
      <w:pPr>
        <w:spacing w:after="0" w:line="240" w:lineRule="auto"/>
        <w:jc w:val="both"/>
      </w:pPr>
    </w:p>
    <w:p w14:paraId="1E154191" w14:textId="77777777" w:rsidR="00A9638E" w:rsidRPr="00A5207C" w:rsidRDefault="00F5681C" w:rsidP="00A12ABF">
      <w:pPr>
        <w:spacing w:after="0" w:line="240" w:lineRule="auto"/>
        <w:jc w:val="both"/>
        <w:rPr>
          <w:b/>
          <w:bCs/>
          <w:color w:val="156082" w:themeColor="accent1"/>
        </w:rPr>
      </w:pPr>
      <w:r w:rsidRPr="00A5207C">
        <w:rPr>
          <w:b/>
          <w:bCs/>
          <w:color w:val="156082" w:themeColor="accent1"/>
        </w:rPr>
        <w:t>Personal Grievances</w:t>
      </w:r>
    </w:p>
    <w:p w14:paraId="30811797" w14:textId="77777777" w:rsidR="00A9638E" w:rsidRPr="008B72E0" w:rsidRDefault="00A9638E" w:rsidP="00A12ABF">
      <w:pPr>
        <w:spacing w:after="0" w:line="240" w:lineRule="auto"/>
        <w:jc w:val="both"/>
      </w:pPr>
    </w:p>
    <w:p w14:paraId="53261912" w14:textId="4343A663" w:rsidR="00341DFD" w:rsidRPr="008B72E0" w:rsidRDefault="00F5681C" w:rsidP="00A12ABF">
      <w:pPr>
        <w:spacing w:after="0"/>
        <w:jc w:val="both"/>
        <w:rPr>
          <w:lang w:val="en-US"/>
        </w:rPr>
      </w:pPr>
      <w:r w:rsidRPr="008B72E0">
        <w:t xml:space="preserve">If the problem is a personal grievance, then the Employee must raise it within 90 days of when the facts which give rise to the grievance occur or come to their attention. A personal grievance can only be raised outside this timeframe with the </w:t>
      </w:r>
      <w:r w:rsidR="001D4677" w:rsidRPr="008B72E0">
        <w:t>agreement</w:t>
      </w:r>
      <w:r w:rsidR="003F7E46" w:rsidRPr="008B72E0">
        <w:t xml:space="preserve"> of the Employer or in exceptional circumstances</w:t>
      </w:r>
      <w:r w:rsidR="00073EE2" w:rsidRPr="008B72E0">
        <w:t>.</w:t>
      </w:r>
    </w:p>
    <w:sectPr w:rsidR="00341DFD" w:rsidRPr="008B72E0" w:rsidSect="00F476A2">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E84A6" w14:textId="77777777" w:rsidR="007702ED" w:rsidRDefault="007702ED" w:rsidP="00752E41">
      <w:pPr>
        <w:spacing w:after="0" w:line="240" w:lineRule="auto"/>
      </w:pPr>
      <w:r>
        <w:separator/>
      </w:r>
    </w:p>
  </w:endnote>
  <w:endnote w:type="continuationSeparator" w:id="0">
    <w:p w14:paraId="0EC34137" w14:textId="77777777" w:rsidR="007702ED" w:rsidRDefault="007702ED" w:rsidP="007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FD50A" w14:textId="77777777" w:rsidR="007702ED" w:rsidRDefault="007702ED" w:rsidP="00752E41">
      <w:pPr>
        <w:spacing w:after="0" w:line="240" w:lineRule="auto"/>
      </w:pPr>
      <w:r>
        <w:separator/>
      </w:r>
    </w:p>
  </w:footnote>
  <w:footnote w:type="continuationSeparator" w:id="0">
    <w:p w14:paraId="4F900FD5" w14:textId="77777777" w:rsidR="007702ED" w:rsidRDefault="007702ED" w:rsidP="00752E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E45AE"/>
    <w:multiLevelType w:val="hybridMultilevel"/>
    <w:tmpl w:val="A004290C"/>
    <w:lvl w:ilvl="0" w:tplc="08AAD044">
      <w:numFmt w:val="bullet"/>
      <w:lvlText w:val=""/>
      <w:lvlJc w:val="left"/>
      <w:pPr>
        <w:ind w:left="720" w:hanging="360"/>
      </w:pPr>
      <w:rPr>
        <w:rFonts w:ascii="Symbol" w:eastAsiaTheme="minorHAnsi" w:hAnsi="Symbol" w:cstheme="minorBidi" w:hint="default"/>
      </w:rPr>
    </w:lvl>
    <w:lvl w:ilvl="1" w:tplc="3A2C25FC" w:tentative="1">
      <w:start w:val="1"/>
      <w:numFmt w:val="bullet"/>
      <w:lvlText w:val="o"/>
      <w:lvlJc w:val="left"/>
      <w:pPr>
        <w:ind w:left="1440" w:hanging="360"/>
      </w:pPr>
      <w:rPr>
        <w:rFonts w:ascii="Courier New" w:hAnsi="Courier New" w:cs="Courier New" w:hint="default"/>
      </w:rPr>
    </w:lvl>
    <w:lvl w:ilvl="2" w:tplc="B04A7B98" w:tentative="1">
      <w:start w:val="1"/>
      <w:numFmt w:val="bullet"/>
      <w:lvlText w:val=""/>
      <w:lvlJc w:val="left"/>
      <w:pPr>
        <w:ind w:left="2160" w:hanging="360"/>
      </w:pPr>
      <w:rPr>
        <w:rFonts w:ascii="Wingdings" w:hAnsi="Wingdings" w:hint="default"/>
      </w:rPr>
    </w:lvl>
    <w:lvl w:ilvl="3" w:tplc="D70EDF2C" w:tentative="1">
      <w:start w:val="1"/>
      <w:numFmt w:val="bullet"/>
      <w:lvlText w:val=""/>
      <w:lvlJc w:val="left"/>
      <w:pPr>
        <w:ind w:left="2880" w:hanging="360"/>
      </w:pPr>
      <w:rPr>
        <w:rFonts w:ascii="Symbol" w:hAnsi="Symbol" w:hint="default"/>
      </w:rPr>
    </w:lvl>
    <w:lvl w:ilvl="4" w:tplc="3D649E64" w:tentative="1">
      <w:start w:val="1"/>
      <w:numFmt w:val="bullet"/>
      <w:lvlText w:val="o"/>
      <w:lvlJc w:val="left"/>
      <w:pPr>
        <w:ind w:left="3600" w:hanging="360"/>
      </w:pPr>
      <w:rPr>
        <w:rFonts w:ascii="Courier New" w:hAnsi="Courier New" w:cs="Courier New" w:hint="default"/>
      </w:rPr>
    </w:lvl>
    <w:lvl w:ilvl="5" w:tplc="DC38ECA0" w:tentative="1">
      <w:start w:val="1"/>
      <w:numFmt w:val="bullet"/>
      <w:lvlText w:val=""/>
      <w:lvlJc w:val="left"/>
      <w:pPr>
        <w:ind w:left="4320" w:hanging="360"/>
      </w:pPr>
      <w:rPr>
        <w:rFonts w:ascii="Wingdings" w:hAnsi="Wingdings" w:hint="default"/>
      </w:rPr>
    </w:lvl>
    <w:lvl w:ilvl="6" w:tplc="4A6C7D24" w:tentative="1">
      <w:start w:val="1"/>
      <w:numFmt w:val="bullet"/>
      <w:lvlText w:val=""/>
      <w:lvlJc w:val="left"/>
      <w:pPr>
        <w:ind w:left="5040" w:hanging="360"/>
      </w:pPr>
      <w:rPr>
        <w:rFonts w:ascii="Symbol" w:hAnsi="Symbol" w:hint="default"/>
      </w:rPr>
    </w:lvl>
    <w:lvl w:ilvl="7" w:tplc="56D00540" w:tentative="1">
      <w:start w:val="1"/>
      <w:numFmt w:val="bullet"/>
      <w:lvlText w:val="o"/>
      <w:lvlJc w:val="left"/>
      <w:pPr>
        <w:ind w:left="5760" w:hanging="360"/>
      </w:pPr>
      <w:rPr>
        <w:rFonts w:ascii="Courier New" w:hAnsi="Courier New" w:cs="Courier New" w:hint="default"/>
      </w:rPr>
    </w:lvl>
    <w:lvl w:ilvl="8" w:tplc="CC6284E6" w:tentative="1">
      <w:start w:val="1"/>
      <w:numFmt w:val="bullet"/>
      <w:lvlText w:val=""/>
      <w:lvlJc w:val="left"/>
      <w:pPr>
        <w:ind w:left="6480" w:hanging="360"/>
      </w:pPr>
      <w:rPr>
        <w:rFonts w:ascii="Wingdings" w:hAnsi="Wingdings" w:hint="default"/>
      </w:rPr>
    </w:lvl>
  </w:abstractNum>
  <w:abstractNum w:abstractNumId="1" w15:restartNumberingAfterBreak="0">
    <w:nsid w:val="3BEB6065"/>
    <w:multiLevelType w:val="hybridMultilevel"/>
    <w:tmpl w:val="3558C0B8"/>
    <w:lvl w:ilvl="0" w:tplc="72A462B8">
      <w:start w:val="1"/>
      <w:numFmt w:val="lowerRoman"/>
      <w:lvlText w:val="%1."/>
      <w:lvlJc w:val="left"/>
      <w:pPr>
        <w:ind w:left="1080" w:hanging="720"/>
      </w:pPr>
      <w:rPr>
        <w:rFonts w:hint="default"/>
      </w:rPr>
    </w:lvl>
    <w:lvl w:ilvl="1" w:tplc="9208A988" w:tentative="1">
      <w:start w:val="1"/>
      <w:numFmt w:val="lowerLetter"/>
      <w:lvlText w:val="%2."/>
      <w:lvlJc w:val="left"/>
      <w:pPr>
        <w:ind w:left="1440" w:hanging="360"/>
      </w:pPr>
    </w:lvl>
    <w:lvl w:ilvl="2" w:tplc="61322AEA" w:tentative="1">
      <w:start w:val="1"/>
      <w:numFmt w:val="lowerRoman"/>
      <w:lvlText w:val="%3."/>
      <w:lvlJc w:val="right"/>
      <w:pPr>
        <w:ind w:left="2160" w:hanging="180"/>
      </w:pPr>
    </w:lvl>
    <w:lvl w:ilvl="3" w:tplc="D116F548" w:tentative="1">
      <w:start w:val="1"/>
      <w:numFmt w:val="decimal"/>
      <w:lvlText w:val="%4."/>
      <w:lvlJc w:val="left"/>
      <w:pPr>
        <w:ind w:left="2880" w:hanging="360"/>
      </w:pPr>
    </w:lvl>
    <w:lvl w:ilvl="4" w:tplc="4DECCB8E" w:tentative="1">
      <w:start w:val="1"/>
      <w:numFmt w:val="lowerLetter"/>
      <w:lvlText w:val="%5."/>
      <w:lvlJc w:val="left"/>
      <w:pPr>
        <w:ind w:left="3600" w:hanging="360"/>
      </w:pPr>
    </w:lvl>
    <w:lvl w:ilvl="5" w:tplc="C3B6C8F8" w:tentative="1">
      <w:start w:val="1"/>
      <w:numFmt w:val="lowerRoman"/>
      <w:lvlText w:val="%6."/>
      <w:lvlJc w:val="right"/>
      <w:pPr>
        <w:ind w:left="4320" w:hanging="180"/>
      </w:pPr>
    </w:lvl>
    <w:lvl w:ilvl="6" w:tplc="7858423C" w:tentative="1">
      <w:start w:val="1"/>
      <w:numFmt w:val="decimal"/>
      <w:lvlText w:val="%7."/>
      <w:lvlJc w:val="left"/>
      <w:pPr>
        <w:ind w:left="5040" w:hanging="360"/>
      </w:pPr>
    </w:lvl>
    <w:lvl w:ilvl="7" w:tplc="7DCEDE4C" w:tentative="1">
      <w:start w:val="1"/>
      <w:numFmt w:val="lowerLetter"/>
      <w:lvlText w:val="%8."/>
      <w:lvlJc w:val="left"/>
      <w:pPr>
        <w:ind w:left="5760" w:hanging="360"/>
      </w:pPr>
    </w:lvl>
    <w:lvl w:ilvl="8" w:tplc="A68268BE" w:tentative="1">
      <w:start w:val="1"/>
      <w:numFmt w:val="lowerRoman"/>
      <w:lvlText w:val="%9."/>
      <w:lvlJc w:val="right"/>
      <w:pPr>
        <w:ind w:left="6480" w:hanging="180"/>
      </w:pPr>
    </w:lvl>
  </w:abstractNum>
  <w:num w:numId="1" w16cid:durableId="1809543358">
    <w:abstractNumId w:val="0"/>
  </w:num>
  <w:num w:numId="2" w16cid:durableId="734553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A2"/>
    <w:rsid w:val="00002F20"/>
    <w:rsid w:val="00020E81"/>
    <w:rsid w:val="00034385"/>
    <w:rsid w:val="00054BDC"/>
    <w:rsid w:val="000609AF"/>
    <w:rsid w:val="00061CCF"/>
    <w:rsid w:val="00062CD7"/>
    <w:rsid w:val="00062F33"/>
    <w:rsid w:val="000663F6"/>
    <w:rsid w:val="00073EE2"/>
    <w:rsid w:val="00084EE4"/>
    <w:rsid w:val="00090028"/>
    <w:rsid w:val="000B55F7"/>
    <w:rsid w:val="000B5ED3"/>
    <w:rsid w:val="000B6291"/>
    <w:rsid w:val="000B700C"/>
    <w:rsid w:val="000F02DE"/>
    <w:rsid w:val="000F1EFA"/>
    <w:rsid w:val="000F5F49"/>
    <w:rsid w:val="00117766"/>
    <w:rsid w:val="001349C6"/>
    <w:rsid w:val="001479ED"/>
    <w:rsid w:val="00172B3B"/>
    <w:rsid w:val="00180C1C"/>
    <w:rsid w:val="00181437"/>
    <w:rsid w:val="00195ED3"/>
    <w:rsid w:val="001A5FD1"/>
    <w:rsid w:val="001A7432"/>
    <w:rsid w:val="001B10D6"/>
    <w:rsid w:val="001D09FD"/>
    <w:rsid w:val="001D4677"/>
    <w:rsid w:val="001D47E0"/>
    <w:rsid w:val="001F4062"/>
    <w:rsid w:val="00220B8D"/>
    <w:rsid w:val="0022303D"/>
    <w:rsid w:val="00274F4B"/>
    <w:rsid w:val="00290D8C"/>
    <w:rsid w:val="002A4328"/>
    <w:rsid w:val="002A58F6"/>
    <w:rsid w:val="003009E5"/>
    <w:rsid w:val="0033248E"/>
    <w:rsid w:val="00334EEF"/>
    <w:rsid w:val="00341DFD"/>
    <w:rsid w:val="00343CE2"/>
    <w:rsid w:val="003534DC"/>
    <w:rsid w:val="00362102"/>
    <w:rsid w:val="00363CB7"/>
    <w:rsid w:val="003834ED"/>
    <w:rsid w:val="00384B62"/>
    <w:rsid w:val="003B204C"/>
    <w:rsid w:val="003B662E"/>
    <w:rsid w:val="003C2471"/>
    <w:rsid w:val="003D2EC2"/>
    <w:rsid w:val="003E6F53"/>
    <w:rsid w:val="003F7E46"/>
    <w:rsid w:val="00407EE7"/>
    <w:rsid w:val="00420826"/>
    <w:rsid w:val="00420CBE"/>
    <w:rsid w:val="004258FA"/>
    <w:rsid w:val="00430BC4"/>
    <w:rsid w:val="00444652"/>
    <w:rsid w:val="00461AAA"/>
    <w:rsid w:val="00463144"/>
    <w:rsid w:val="0046421C"/>
    <w:rsid w:val="00467DED"/>
    <w:rsid w:val="004D3A55"/>
    <w:rsid w:val="004D555C"/>
    <w:rsid w:val="004E054A"/>
    <w:rsid w:val="004F650E"/>
    <w:rsid w:val="005004FF"/>
    <w:rsid w:val="00504F16"/>
    <w:rsid w:val="00506D53"/>
    <w:rsid w:val="00511DB1"/>
    <w:rsid w:val="005173F3"/>
    <w:rsid w:val="00522682"/>
    <w:rsid w:val="00535BF7"/>
    <w:rsid w:val="00554585"/>
    <w:rsid w:val="00567C6D"/>
    <w:rsid w:val="005754A0"/>
    <w:rsid w:val="00586721"/>
    <w:rsid w:val="005A64E6"/>
    <w:rsid w:val="005A76B4"/>
    <w:rsid w:val="005B4D29"/>
    <w:rsid w:val="005B6827"/>
    <w:rsid w:val="005C5B86"/>
    <w:rsid w:val="005D5770"/>
    <w:rsid w:val="005D5FBB"/>
    <w:rsid w:val="005D72CE"/>
    <w:rsid w:val="005E74B7"/>
    <w:rsid w:val="005F6132"/>
    <w:rsid w:val="006131DA"/>
    <w:rsid w:val="006205A4"/>
    <w:rsid w:val="006348B3"/>
    <w:rsid w:val="00642D26"/>
    <w:rsid w:val="00646B55"/>
    <w:rsid w:val="00651CB5"/>
    <w:rsid w:val="0065537F"/>
    <w:rsid w:val="00660FAD"/>
    <w:rsid w:val="0069150B"/>
    <w:rsid w:val="006E0CFD"/>
    <w:rsid w:val="006F2435"/>
    <w:rsid w:val="00717D8B"/>
    <w:rsid w:val="007236B2"/>
    <w:rsid w:val="00725A0D"/>
    <w:rsid w:val="00726C52"/>
    <w:rsid w:val="007311C2"/>
    <w:rsid w:val="007374A8"/>
    <w:rsid w:val="00743B31"/>
    <w:rsid w:val="007452E0"/>
    <w:rsid w:val="00752E41"/>
    <w:rsid w:val="00753910"/>
    <w:rsid w:val="007560C4"/>
    <w:rsid w:val="007573F8"/>
    <w:rsid w:val="0075758B"/>
    <w:rsid w:val="00761345"/>
    <w:rsid w:val="00762448"/>
    <w:rsid w:val="007702ED"/>
    <w:rsid w:val="00775CB1"/>
    <w:rsid w:val="00780EB4"/>
    <w:rsid w:val="00791923"/>
    <w:rsid w:val="0079337D"/>
    <w:rsid w:val="00796490"/>
    <w:rsid w:val="0079692E"/>
    <w:rsid w:val="00796A38"/>
    <w:rsid w:val="00796BC4"/>
    <w:rsid w:val="00796DCD"/>
    <w:rsid w:val="007B34D4"/>
    <w:rsid w:val="007B7220"/>
    <w:rsid w:val="007C1894"/>
    <w:rsid w:val="007D13B0"/>
    <w:rsid w:val="007D2AED"/>
    <w:rsid w:val="007D78A7"/>
    <w:rsid w:val="007E3703"/>
    <w:rsid w:val="007F344A"/>
    <w:rsid w:val="00800F6B"/>
    <w:rsid w:val="008025EC"/>
    <w:rsid w:val="008112BF"/>
    <w:rsid w:val="00827AFB"/>
    <w:rsid w:val="00840755"/>
    <w:rsid w:val="00844026"/>
    <w:rsid w:val="008802FA"/>
    <w:rsid w:val="008835B3"/>
    <w:rsid w:val="0088632B"/>
    <w:rsid w:val="008A26F1"/>
    <w:rsid w:val="008A4520"/>
    <w:rsid w:val="008A53F0"/>
    <w:rsid w:val="008B19B3"/>
    <w:rsid w:val="008B72E0"/>
    <w:rsid w:val="008C2B42"/>
    <w:rsid w:val="008F2FA2"/>
    <w:rsid w:val="00905F40"/>
    <w:rsid w:val="00923ABD"/>
    <w:rsid w:val="00933EA7"/>
    <w:rsid w:val="00944F91"/>
    <w:rsid w:val="00970CAA"/>
    <w:rsid w:val="00973692"/>
    <w:rsid w:val="00975B13"/>
    <w:rsid w:val="00992E66"/>
    <w:rsid w:val="009955FF"/>
    <w:rsid w:val="00997238"/>
    <w:rsid w:val="009B06A3"/>
    <w:rsid w:val="009C1D71"/>
    <w:rsid w:val="009C2F69"/>
    <w:rsid w:val="009F5E86"/>
    <w:rsid w:val="009F6044"/>
    <w:rsid w:val="009F784B"/>
    <w:rsid w:val="00A06FE6"/>
    <w:rsid w:val="00A12ABF"/>
    <w:rsid w:val="00A17E2B"/>
    <w:rsid w:val="00A3196C"/>
    <w:rsid w:val="00A347DB"/>
    <w:rsid w:val="00A46B96"/>
    <w:rsid w:val="00A5207C"/>
    <w:rsid w:val="00A53DB8"/>
    <w:rsid w:val="00A5523E"/>
    <w:rsid w:val="00A562FB"/>
    <w:rsid w:val="00A6048D"/>
    <w:rsid w:val="00A61658"/>
    <w:rsid w:val="00A9638E"/>
    <w:rsid w:val="00AA0498"/>
    <w:rsid w:val="00AB75E4"/>
    <w:rsid w:val="00AC0DAE"/>
    <w:rsid w:val="00AC3F6F"/>
    <w:rsid w:val="00AC5806"/>
    <w:rsid w:val="00AD194A"/>
    <w:rsid w:val="00AD64B6"/>
    <w:rsid w:val="00AE2C2D"/>
    <w:rsid w:val="00AE4735"/>
    <w:rsid w:val="00AF2530"/>
    <w:rsid w:val="00B115E8"/>
    <w:rsid w:val="00B15691"/>
    <w:rsid w:val="00B22FC7"/>
    <w:rsid w:val="00B35A1D"/>
    <w:rsid w:val="00B35F53"/>
    <w:rsid w:val="00B37D41"/>
    <w:rsid w:val="00B4184B"/>
    <w:rsid w:val="00B4683C"/>
    <w:rsid w:val="00B57183"/>
    <w:rsid w:val="00B728AC"/>
    <w:rsid w:val="00B7753C"/>
    <w:rsid w:val="00BC18CF"/>
    <w:rsid w:val="00BC1958"/>
    <w:rsid w:val="00BD31DB"/>
    <w:rsid w:val="00BF1D50"/>
    <w:rsid w:val="00C252BC"/>
    <w:rsid w:val="00C270D8"/>
    <w:rsid w:val="00C310A5"/>
    <w:rsid w:val="00C31C56"/>
    <w:rsid w:val="00C5099E"/>
    <w:rsid w:val="00C526F7"/>
    <w:rsid w:val="00C668BF"/>
    <w:rsid w:val="00C72565"/>
    <w:rsid w:val="00C82A8B"/>
    <w:rsid w:val="00C94A6D"/>
    <w:rsid w:val="00CA42F2"/>
    <w:rsid w:val="00CB1D7F"/>
    <w:rsid w:val="00CB1EAA"/>
    <w:rsid w:val="00CB4F71"/>
    <w:rsid w:val="00CD62A3"/>
    <w:rsid w:val="00CF0452"/>
    <w:rsid w:val="00D0589A"/>
    <w:rsid w:val="00D07BEE"/>
    <w:rsid w:val="00D23FCA"/>
    <w:rsid w:val="00D30E27"/>
    <w:rsid w:val="00D470B2"/>
    <w:rsid w:val="00D5346E"/>
    <w:rsid w:val="00D61CB6"/>
    <w:rsid w:val="00D85F18"/>
    <w:rsid w:val="00D90398"/>
    <w:rsid w:val="00D923C5"/>
    <w:rsid w:val="00D92B51"/>
    <w:rsid w:val="00D97FA1"/>
    <w:rsid w:val="00DA55EC"/>
    <w:rsid w:val="00DC40FB"/>
    <w:rsid w:val="00DC6094"/>
    <w:rsid w:val="00DF48DE"/>
    <w:rsid w:val="00E0352D"/>
    <w:rsid w:val="00E104A3"/>
    <w:rsid w:val="00E10DF7"/>
    <w:rsid w:val="00E1531E"/>
    <w:rsid w:val="00E24EBE"/>
    <w:rsid w:val="00E35F88"/>
    <w:rsid w:val="00E54BD7"/>
    <w:rsid w:val="00E6040D"/>
    <w:rsid w:val="00E7034B"/>
    <w:rsid w:val="00E76F04"/>
    <w:rsid w:val="00EB4B90"/>
    <w:rsid w:val="00EB570E"/>
    <w:rsid w:val="00EC1DA6"/>
    <w:rsid w:val="00EC35DA"/>
    <w:rsid w:val="00EC7874"/>
    <w:rsid w:val="00EF1D42"/>
    <w:rsid w:val="00F1233E"/>
    <w:rsid w:val="00F23355"/>
    <w:rsid w:val="00F25D0F"/>
    <w:rsid w:val="00F33C41"/>
    <w:rsid w:val="00F411A2"/>
    <w:rsid w:val="00F43B6B"/>
    <w:rsid w:val="00F4413D"/>
    <w:rsid w:val="00F476A2"/>
    <w:rsid w:val="00F479D9"/>
    <w:rsid w:val="00F5681C"/>
    <w:rsid w:val="00F74C9A"/>
    <w:rsid w:val="00F77DD4"/>
    <w:rsid w:val="00F82F2C"/>
    <w:rsid w:val="00FA7371"/>
    <w:rsid w:val="00FB6848"/>
    <w:rsid w:val="00FD2803"/>
    <w:rsid w:val="00FF5E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AF9E3"/>
  <w15:chartTrackingRefBased/>
  <w15:docId w15:val="{C41697B5-29B0-484A-A450-63361A93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6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6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6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6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6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6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6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6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6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6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6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6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6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6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6A2"/>
    <w:rPr>
      <w:rFonts w:eastAsiaTheme="majorEastAsia" w:cstheme="majorBidi"/>
      <w:color w:val="272727" w:themeColor="text1" w:themeTint="D8"/>
    </w:rPr>
  </w:style>
  <w:style w:type="paragraph" w:styleId="Title">
    <w:name w:val="Title"/>
    <w:basedOn w:val="Normal"/>
    <w:next w:val="Normal"/>
    <w:link w:val="TitleChar"/>
    <w:uiPriority w:val="10"/>
    <w:qFormat/>
    <w:rsid w:val="00F47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6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6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6A2"/>
    <w:pPr>
      <w:spacing w:before="160"/>
      <w:jc w:val="center"/>
    </w:pPr>
    <w:rPr>
      <w:i/>
      <w:iCs/>
      <w:color w:val="404040" w:themeColor="text1" w:themeTint="BF"/>
    </w:rPr>
  </w:style>
  <w:style w:type="character" w:customStyle="1" w:styleId="QuoteChar">
    <w:name w:val="Quote Char"/>
    <w:basedOn w:val="DefaultParagraphFont"/>
    <w:link w:val="Quote"/>
    <w:uiPriority w:val="29"/>
    <w:rsid w:val="00F476A2"/>
    <w:rPr>
      <w:i/>
      <w:iCs/>
      <w:color w:val="404040" w:themeColor="text1" w:themeTint="BF"/>
    </w:rPr>
  </w:style>
  <w:style w:type="paragraph" w:styleId="ListParagraph">
    <w:name w:val="List Paragraph"/>
    <w:basedOn w:val="Normal"/>
    <w:uiPriority w:val="34"/>
    <w:qFormat/>
    <w:rsid w:val="00F476A2"/>
    <w:pPr>
      <w:ind w:left="720"/>
      <w:contextualSpacing/>
    </w:pPr>
  </w:style>
  <w:style w:type="character" w:styleId="IntenseEmphasis">
    <w:name w:val="Intense Emphasis"/>
    <w:basedOn w:val="DefaultParagraphFont"/>
    <w:uiPriority w:val="21"/>
    <w:qFormat/>
    <w:rsid w:val="00F476A2"/>
    <w:rPr>
      <w:i/>
      <w:iCs/>
      <w:color w:val="0F4761" w:themeColor="accent1" w:themeShade="BF"/>
    </w:rPr>
  </w:style>
  <w:style w:type="paragraph" w:styleId="IntenseQuote">
    <w:name w:val="Intense Quote"/>
    <w:basedOn w:val="Normal"/>
    <w:next w:val="Normal"/>
    <w:link w:val="IntenseQuoteChar"/>
    <w:uiPriority w:val="30"/>
    <w:qFormat/>
    <w:rsid w:val="00F47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6A2"/>
    <w:rPr>
      <w:i/>
      <w:iCs/>
      <w:color w:val="0F4761" w:themeColor="accent1" w:themeShade="BF"/>
    </w:rPr>
  </w:style>
  <w:style w:type="character" w:styleId="IntenseReference">
    <w:name w:val="Intense Reference"/>
    <w:basedOn w:val="DefaultParagraphFont"/>
    <w:uiPriority w:val="32"/>
    <w:qFormat/>
    <w:rsid w:val="00F476A2"/>
    <w:rPr>
      <w:b/>
      <w:bCs/>
      <w:smallCaps/>
      <w:color w:val="0F4761" w:themeColor="accent1" w:themeShade="BF"/>
      <w:spacing w:val="5"/>
    </w:rPr>
  </w:style>
  <w:style w:type="table" w:styleId="TableGrid">
    <w:name w:val="Table Grid"/>
    <w:basedOn w:val="TableNormal"/>
    <w:uiPriority w:val="39"/>
    <w:rsid w:val="00F47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638E"/>
    <w:rPr>
      <w:color w:val="467886" w:themeColor="hyperlink"/>
      <w:u w:val="single"/>
    </w:rPr>
  </w:style>
  <w:style w:type="paragraph" w:styleId="Header">
    <w:name w:val="header"/>
    <w:basedOn w:val="Normal"/>
    <w:link w:val="HeaderChar"/>
    <w:uiPriority w:val="99"/>
    <w:unhideWhenUsed/>
    <w:rsid w:val="00752E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E41"/>
  </w:style>
  <w:style w:type="paragraph" w:styleId="Footer">
    <w:name w:val="footer"/>
    <w:basedOn w:val="Normal"/>
    <w:link w:val="FooterChar"/>
    <w:uiPriority w:val="99"/>
    <w:unhideWhenUsed/>
    <w:rsid w:val="00752E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tect.checkpoint.com/v2/r04/___http://www.ers.dol.govt.nz___.Y3A0YTpuYXRpb25hbGNvbGxlY3RpdmVvZmluZGVwZW5kZW50d29tZW5zcmVmdWdlczE6YzpvOjZiYjQxMWZjM2IxNWIyMDU4N2U5MTk1MjJhZjMxNzBjOjc6ZTdlMTo1OGVmMGNjNTkxODEwZjY4YjM3YTZkZmY1YTllY2IzMzQ3YWVkNzI1ODhmNDI2MTFlYzNkMjZkMGViOWVlNjY1OnA6Rjp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0da49b-9cef-47f7-810f-a02651756d65" xsi:nil="true"/>
    <lcf76f155ced4ddcb4097134ff3c332f xmlns="dc0dd3c3-8c21-4911-a380-5e74267225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BE5FC4CA34C246B8E3AF6F56D79607" ma:contentTypeVersion="16" ma:contentTypeDescription="Create a new document." ma:contentTypeScope="" ma:versionID="545e7273ff565350ab2eb185d52c8d39">
  <xsd:schema xmlns:xsd="http://www.w3.org/2001/XMLSchema" xmlns:xs="http://www.w3.org/2001/XMLSchema" xmlns:p="http://schemas.microsoft.com/office/2006/metadata/properties" xmlns:ns2="dc0dd3c3-8c21-4911-a380-5e7426722589" xmlns:ns3="5b0da49b-9cef-47f7-810f-a02651756d65" targetNamespace="http://schemas.microsoft.com/office/2006/metadata/properties" ma:root="true" ma:fieldsID="e58bf4686e8f0df5cd0543b644e875c4" ns2:_="" ns3:_="">
    <xsd:import namespace="dc0dd3c3-8c21-4911-a380-5e7426722589"/>
    <xsd:import namespace="5b0da49b-9cef-47f7-810f-a02651756d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dd3c3-8c21-4911-a380-5e7426722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dfe20c-5145-440e-942b-23b6a0bd17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0da49b-9cef-47f7-810f-a02651756d6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9ad6a87-6f1b-4e45-b09c-e44261474551}" ma:internalName="TaxCatchAll" ma:showField="CatchAllData" ma:web="5b0da49b-9cef-47f7-810f-a02651756d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E1DAC-B7F4-4E70-8164-DD095F1992D0}">
  <ds:schemaRefs>
    <ds:schemaRef ds:uri="http://schemas.microsoft.com/sharepoint/v3/contenttype/forms"/>
  </ds:schemaRefs>
</ds:datastoreItem>
</file>

<file path=customXml/itemProps2.xml><?xml version="1.0" encoding="utf-8"?>
<ds:datastoreItem xmlns:ds="http://schemas.openxmlformats.org/officeDocument/2006/customXml" ds:itemID="{356308CF-7C5F-47E5-A88A-8EAFD51D58FB}">
  <ds:schemaRefs>
    <ds:schemaRef ds:uri="http://schemas.microsoft.com/office/2006/metadata/properties"/>
    <ds:schemaRef ds:uri="http://schemas.microsoft.com/office/infopath/2007/PartnerControls"/>
    <ds:schemaRef ds:uri="5b0da49b-9cef-47f7-810f-a02651756d65"/>
    <ds:schemaRef ds:uri="dc0dd3c3-8c21-4911-a380-5e7426722589"/>
  </ds:schemaRefs>
</ds:datastoreItem>
</file>

<file path=customXml/itemProps3.xml><?xml version="1.0" encoding="utf-8"?>
<ds:datastoreItem xmlns:ds="http://schemas.openxmlformats.org/officeDocument/2006/customXml" ds:itemID="{10CA885A-8C8A-4C30-8D1C-431F845F6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dd3c3-8c21-4911-a380-5e7426722589"/>
    <ds:schemaRef ds:uri="5b0da49b-9cef-47f7-810f-a02651756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1486</Words>
  <Characters>8650</Characters>
  <Application>Microsoft Office Word</Application>
  <DocSecurity>0</DocSecurity>
  <Lines>254</Lines>
  <Paragraphs>151</Paragraphs>
  <ScaleCrop>false</ScaleCrop>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Thomassen-Clarke</dc:creator>
  <cp:lastModifiedBy>Cheryl Gibbs</cp:lastModifiedBy>
  <cp:revision>11</cp:revision>
  <dcterms:created xsi:type="dcterms:W3CDTF">2026-02-17T02:07:00Z</dcterms:created>
  <dcterms:modified xsi:type="dcterms:W3CDTF">2026-02-17T21:55:00Z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0x0101009EBE5FC4CA34C246B8E3AF6F56D79607</vt:lpwstr>
  </property>
  <property fmtid="{D5CDD505-2E9C-101B-9397-08002B2CF9AE}" pid="3" name="MediaServiceImageTags">
    <vt:lpwstr/>
  </property>
</Properties>
</file>