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2D" w:rsidRPr="00384BC9" w:rsidRDefault="00135C2D" w:rsidP="00135C2D">
      <w:pPr>
        <w:pStyle w:val="Heading1"/>
        <w:rPr>
          <w:color w:val="7030A0"/>
          <w:sz w:val="24"/>
          <w:szCs w:val="24"/>
        </w:rPr>
      </w:pPr>
      <w:bookmarkStart w:id="0" w:name="_GoBack"/>
      <w:bookmarkEnd w:id="0"/>
      <w:r w:rsidRPr="00384BC9">
        <w:rPr>
          <w:color w:val="7030A0"/>
          <w:sz w:val="24"/>
          <w:szCs w:val="24"/>
        </w:rPr>
        <w:t>Introduction</w:t>
      </w:r>
    </w:p>
    <w:p w:rsidR="00135C2D" w:rsidRPr="00384BC9" w:rsidRDefault="00135C2D" w:rsidP="0080250F">
      <w:pPr>
        <w:pStyle w:val="Default"/>
        <w:numPr>
          <w:ilvl w:val="0"/>
          <w:numId w:val="20"/>
        </w:numPr>
        <w:spacing w:after="120" w:line="360" w:lineRule="auto"/>
        <w:ind w:left="357" w:hanging="357"/>
        <w:jc w:val="both"/>
        <w:rPr>
          <w:rFonts w:asciiTheme="majorHAnsi" w:hAnsiTheme="majorHAnsi" w:cs="Cambria"/>
          <w:sz w:val="22"/>
          <w:szCs w:val="22"/>
        </w:rPr>
      </w:pPr>
      <w:r w:rsidRPr="00384BC9">
        <w:rPr>
          <w:rFonts w:asciiTheme="majorHAnsi" w:hAnsiTheme="majorHAnsi" w:cs="Cambria"/>
          <w:sz w:val="22"/>
          <w:szCs w:val="22"/>
        </w:rPr>
        <w:t xml:space="preserve">The National Collective of Independent Women’s Refuges (NCIWR) is a non-governmental organisation delivering services to women and children affected by domestic violence in New Zealand. NCIWR provides support, advocacy, legal, and health services to 16,507 clients annually. 52 percent of these are women, and 48 percent are children. Last year, 2,852 women and children needed to be admitted into our safe houses to protect them from ongoing violence. </w:t>
      </w:r>
    </w:p>
    <w:p w:rsidR="00C73C43" w:rsidRDefault="00135C2D" w:rsidP="00C73C43">
      <w:pPr>
        <w:pStyle w:val="Default"/>
        <w:numPr>
          <w:ilvl w:val="0"/>
          <w:numId w:val="20"/>
        </w:numPr>
        <w:spacing w:after="120" w:line="360" w:lineRule="auto"/>
        <w:ind w:left="357" w:hanging="357"/>
        <w:jc w:val="both"/>
        <w:rPr>
          <w:rFonts w:asciiTheme="majorHAnsi" w:hAnsiTheme="majorHAnsi" w:cs="Cambria"/>
          <w:sz w:val="22"/>
          <w:szCs w:val="22"/>
        </w:rPr>
      </w:pPr>
      <w:r w:rsidRPr="00384BC9">
        <w:rPr>
          <w:rFonts w:asciiTheme="majorHAnsi" w:hAnsiTheme="majorHAnsi" w:cs="Cambria"/>
          <w:sz w:val="22"/>
          <w:szCs w:val="22"/>
        </w:rPr>
        <w:t xml:space="preserve">Please note we wish to appear before the Select Committee for this Bill. </w:t>
      </w:r>
    </w:p>
    <w:p w:rsidR="00867FA8" w:rsidRPr="00867FA8" w:rsidRDefault="00867FA8" w:rsidP="00867FA8">
      <w:pPr>
        <w:pStyle w:val="Heading1"/>
        <w:rPr>
          <w:color w:val="7030A0"/>
          <w:sz w:val="24"/>
          <w:szCs w:val="24"/>
        </w:rPr>
      </w:pPr>
      <w:r w:rsidRPr="00384BC9">
        <w:rPr>
          <w:color w:val="7030A0"/>
          <w:sz w:val="24"/>
          <w:szCs w:val="24"/>
        </w:rPr>
        <w:t>Comments on the Intention of the Bill</w:t>
      </w:r>
    </w:p>
    <w:p w:rsidR="00BD6CE9" w:rsidRPr="00BD6CE9" w:rsidRDefault="00C73C43" w:rsidP="00BD6CE9">
      <w:pPr>
        <w:pStyle w:val="ListParagraph"/>
        <w:widowControl/>
        <w:numPr>
          <w:ilvl w:val="0"/>
          <w:numId w:val="20"/>
        </w:numPr>
        <w:tabs>
          <w:tab w:val="clear" w:pos="607"/>
          <w:tab w:val="clear" w:pos="1164"/>
        </w:tabs>
        <w:suppressAutoHyphens w:val="0"/>
        <w:autoSpaceDE/>
        <w:autoSpaceDN/>
        <w:adjustRightInd/>
        <w:spacing w:after="200" w:line="360" w:lineRule="auto"/>
        <w:ind w:left="357" w:hanging="357"/>
        <w:contextualSpacing w:val="0"/>
        <w:jc w:val="both"/>
        <w:textAlignment w:val="auto"/>
        <w:rPr>
          <w:rFonts w:asciiTheme="majorHAnsi" w:hAnsiTheme="majorHAnsi"/>
          <w:sz w:val="22"/>
          <w:szCs w:val="22"/>
        </w:rPr>
      </w:pPr>
      <w:r w:rsidRPr="00BD6CE9">
        <w:rPr>
          <w:rFonts w:asciiTheme="majorHAnsi" w:hAnsiTheme="majorHAnsi"/>
          <w:sz w:val="22"/>
          <w:szCs w:val="22"/>
        </w:rPr>
        <w:t>We strongly support the intention of the Bill; that is, addressing the problem of coercion into marriage. However, our concerns about the marriage of minors exceed the provision</w:t>
      </w:r>
      <w:r w:rsidR="00E95809">
        <w:rPr>
          <w:rFonts w:asciiTheme="majorHAnsi" w:hAnsiTheme="majorHAnsi"/>
          <w:sz w:val="22"/>
          <w:szCs w:val="22"/>
        </w:rPr>
        <w:t xml:space="preserve">s set out in this Bill, and </w:t>
      </w:r>
      <w:r w:rsidRPr="00BD6CE9">
        <w:rPr>
          <w:rFonts w:asciiTheme="majorHAnsi" w:hAnsiTheme="majorHAnsi"/>
          <w:sz w:val="22"/>
          <w:szCs w:val="22"/>
        </w:rPr>
        <w:t xml:space="preserve">instead </w:t>
      </w:r>
      <w:r w:rsidR="00E95809">
        <w:rPr>
          <w:rFonts w:asciiTheme="majorHAnsi" w:hAnsiTheme="majorHAnsi"/>
          <w:sz w:val="22"/>
          <w:szCs w:val="22"/>
        </w:rPr>
        <w:t>concern</w:t>
      </w:r>
      <w:r w:rsidRPr="00BD6CE9">
        <w:rPr>
          <w:rFonts w:asciiTheme="majorHAnsi" w:hAnsiTheme="majorHAnsi"/>
          <w:sz w:val="22"/>
          <w:szCs w:val="22"/>
        </w:rPr>
        <w:t xml:space="preserve"> the marriage of minors in any circumstance. As set out below, we argue that the marriage of young people who lack the developmental and social capacity to consent to life partnership, often at the expense of an otherwise supportive and secure family climate from which to develop personal identity and social power, is in direct contravention of the human rights instruments to which New Zealand is a signatory. However, if the State is unwilling to disallow the marriage of minors, we contend that all possible safeguards </w:t>
      </w:r>
      <w:r w:rsidR="00E95809">
        <w:rPr>
          <w:rFonts w:asciiTheme="majorHAnsi" w:hAnsiTheme="majorHAnsi"/>
          <w:sz w:val="22"/>
          <w:szCs w:val="22"/>
        </w:rPr>
        <w:t xml:space="preserve">must </w:t>
      </w:r>
      <w:r w:rsidRPr="00BD6CE9">
        <w:rPr>
          <w:rFonts w:asciiTheme="majorHAnsi" w:hAnsiTheme="majorHAnsi"/>
          <w:sz w:val="22"/>
          <w:szCs w:val="22"/>
        </w:rPr>
        <w:t xml:space="preserve">be enacted to protect against the possibility for coercion or disempowerment, including accessing support prior to a hearing, requesting that parents be excluded from parts of the proceedings, and accessing a lay advocate to guide young people through the bureaucratic processes inherent in a Family Court hearing. </w:t>
      </w:r>
    </w:p>
    <w:p w:rsidR="00384BC9" w:rsidRPr="006811F6" w:rsidRDefault="00BD6CE9" w:rsidP="00384BC9">
      <w:pPr>
        <w:pStyle w:val="ListParagraph"/>
        <w:widowControl/>
        <w:numPr>
          <w:ilvl w:val="0"/>
          <w:numId w:val="20"/>
        </w:numPr>
        <w:tabs>
          <w:tab w:val="clear" w:pos="607"/>
          <w:tab w:val="clear" w:pos="1164"/>
        </w:tabs>
        <w:suppressAutoHyphens w:val="0"/>
        <w:autoSpaceDE/>
        <w:autoSpaceDN/>
        <w:adjustRightInd/>
        <w:spacing w:after="200" w:line="360" w:lineRule="auto"/>
        <w:ind w:left="357" w:hanging="357"/>
        <w:contextualSpacing w:val="0"/>
        <w:jc w:val="both"/>
        <w:textAlignment w:val="auto"/>
        <w:rPr>
          <w:rFonts w:asciiTheme="majorHAnsi" w:hAnsiTheme="majorHAnsi"/>
          <w:sz w:val="22"/>
          <w:szCs w:val="22"/>
        </w:rPr>
      </w:pPr>
      <w:r w:rsidRPr="00384BC9">
        <w:rPr>
          <w:rFonts w:asciiTheme="majorHAnsi" w:hAnsiTheme="majorHAnsi"/>
          <w:sz w:val="22"/>
          <w:szCs w:val="22"/>
        </w:rPr>
        <w:t>We reference here the comment</w:t>
      </w:r>
      <w:r w:rsidR="006811F6">
        <w:rPr>
          <w:rFonts w:asciiTheme="majorHAnsi" w:hAnsiTheme="majorHAnsi"/>
          <w:sz w:val="22"/>
          <w:szCs w:val="22"/>
        </w:rPr>
        <w:t>s of human rights instruments New Zealand is a State Party</w:t>
      </w:r>
      <w:r w:rsidRPr="00384BC9">
        <w:rPr>
          <w:rFonts w:asciiTheme="majorHAnsi" w:hAnsiTheme="majorHAnsi"/>
          <w:sz w:val="22"/>
          <w:szCs w:val="22"/>
        </w:rPr>
        <w:t xml:space="preserve"> to, including the Convention on the Elimination of All Forms of Discrimination against Women, the Convention on the Rights of the Child, and the International Covenant on Civil and Political Rights. Each of these instruments explicitly or implicitly </w:t>
      </w:r>
      <w:proofErr w:type="gramStart"/>
      <w:r w:rsidRPr="00384BC9">
        <w:rPr>
          <w:rFonts w:asciiTheme="majorHAnsi" w:hAnsiTheme="majorHAnsi"/>
          <w:sz w:val="22"/>
          <w:szCs w:val="22"/>
        </w:rPr>
        <w:t>advocate</w:t>
      </w:r>
      <w:proofErr w:type="gramEnd"/>
      <w:r w:rsidRPr="00384BC9">
        <w:rPr>
          <w:rFonts w:asciiTheme="majorHAnsi" w:hAnsiTheme="majorHAnsi"/>
          <w:sz w:val="22"/>
          <w:szCs w:val="22"/>
        </w:rPr>
        <w:t xml:space="preserve"> for a marriage age to be </w:t>
      </w:r>
      <w:r w:rsidR="006811F6">
        <w:rPr>
          <w:rFonts w:asciiTheme="majorHAnsi" w:hAnsiTheme="majorHAnsi"/>
          <w:sz w:val="22"/>
          <w:szCs w:val="22"/>
        </w:rPr>
        <w:t>aligned</w:t>
      </w:r>
      <w:r w:rsidRPr="00384BC9">
        <w:rPr>
          <w:rFonts w:asciiTheme="majorHAnsi" w:hAnsiTheme="majorHAnsi"/>
          <w:sz w:val="22"/>
          <w:szCs w:val="22"/>
        </w:rPr>
        <w:t xml:space="preserve"> with United Nations definitions of adulthood; that is, 18 years old age, and do not endorse exceptions to this based on parental or other consent. </w:t>
      </w:r>
    </w:p>
    <w:p w:rsidR="00384BC9" w:rsidRPr="00384BC9" w:rsidRDefault="00384BC9" w:rsidP="00384BC9">
      <w:pPr>
        <w:pStyle w:val="Heading1"/>
        <w:rPr>
          <w:color w:val="7030A0"/>
          <w:sz w:val="24"/>
          <w:szCs w:val="24"/>
        </w:rPr>
      </w:pPr>
      <w:r>
        <w:rPr>
          <w:color w:val="7030A0"/>
          <w:sz w:val="24"/>
          <w:szCs w:val="24"/>
        </w:rPr>
        <w:t>Recommendation 1: Removing Provisions Allowing 16 and 17 year olds to Marry</w:t>
      </w:r>
    </w:p>
    <w:p w:rsidR="00384BC9" w:rsidRPr="00384BC9" w:rsidRDefault="00384BC9" w:rsidP="00BD6CE9">
      <w:pPr>
        <w:pStyle w:val="ListParagraph"/>
        <w:widowControl/>
        <w:numPr>
          <w:ilvl w:val="0"/>
          <w:numId w:val="20"/>
        </w:numPr>
        <w:tabs>
          <w:tab w:val="clear" w:pos="607"/>
          <w:tab w:val="clear" w:pos="1164"/>
        </w:tabs>
        <w:suppressAutoHyphens w:val="0"/>
        <w:autoSpaceDE/>
        <w:autoSpaceDN/>
        <w:adjustRightInd/>
        <w:spacing w:after="200" w:line="360" w:lineRule="auto"/>
        <w:ind w:left="357" w:hanging="357"/>
        <w:contextualSpacing w:val="0"/>
        <w:jc w:val="both"/>
        <w:textAlignment w:val="auto"/>
        <w:rPr>
          <w:rFonts w:asciiTheme="majorHAnsi" w:hAnsiTheme="majorHAnsi"/>
          <w:sz w:val="22"/>
          <w:szCs w:val="22"/>
        </w:rPr>
      </w:pPr>
      <w:r w:rsidRPr="00384BC9">
        <w:rPr>
          <w:rFonts w:asciiTheme="majorHAnsi" w:hAnsiTheme="majorHAnsi"/>
          <w:sz w:val="22"/>
          <w:szCs w:val="22"/>
        </w:rPr>
        <w:t xml:space="preserve">The Convention on the Elimination of All Forms of Discrimination against Women (the Convention) argues for only adults to be eligible to marry and recommends that this be codified by State Parties, </w:t>
      </w:r>
      <w:r w:rsidRPr="00384BC9">
        <w:rPr>
          <w:rFonts w:asciiTheme="majorHAnsi" w:hAnsiTheme="majorHAnsi"/>
          <w:sz w:val="22"/>
          <w:szCs w:val="22"/>
        </w:rPr>
        <w:lastRenderedPageBreak/>
        <w:t xml:space="preserve">stating that “the betrothal and marriage of a child have no legal effect”. While the </w:t>
      </w:r>
      <w:r w:rsidR="005D2B1A">
        <w:rPr>
          <w:rFonts w:asciiTheme="majorHAnsi" w:hAnsiTheme="majorHAnsi"/>
          <w:sz w:val="22"/>
          <w:szCs w:val="22"/>
        </w:rPr>
        <w:t>Convention on the Rights of the Child (</w:t>
      </w:r>
      <w:r w:rsidRPr="00384BC9">
        <w:rPr>
          <w:rFonts w:asciiTheme="majorHAnsi" w:hAnsiTheme="majorHAnsi"/>
          <w:sz w:val="22"/>
          <w:szCs w:val="22"/>
        </w:rPr>
        <w:t>CRC</w:t>
      </w:r>
      <w:r w:rsidR="005D2B1A">
        <w:rPr>
          <w:rFonts w:asciiTheme="majorHAnsi" w:hAnsiTheme="majorHAnsi"/>
          <w:sz w:val="22"/>
          <w:szCs w:val="22"/>
        </w:rPr>
        <w:t>)</w:t>
      </w:r>
      <w:r w:rsidRPr="00384BC9">
        <w:rPr>
          <w:rFonts w:asciiTheme="majorHAnsi" w:hAnsiTheme="majorHAnsi"/>
          <w:sz w:val="22"/>
          <w:szCs w:val="22"/>
        </w:rPr>
        <w:t xml:space="preserve"> does not explicitly address marriageable age within a Article, it does require that State Parties “abolish traditional practices prejudicial to the health of children”, which can be interpreted as a young person under the age of 18 as aligned with both New Zealand legislation and with international conventions. Finally, Article 23 of the International Covenant on Civil and Political Rights (ICCPR) specifies the “right to marry with free and full consent”, which is arguably inhibited by enabling one of the parties of marriage to consent to marrying when they are insufficiently mature to make an informed decision </w:t>
      </w:r>
      <w:r w:rsidRPr="001137DD">
        <w:rPr>
          <w:rFonts w:asciiTheme="majorHAnsi" w:hAnsiTheme="majorHAnsi"/>
          <w:sz w:val="22"/>
          <w:szCs w:val="22"/>
        </w:rPr>
        <w:t>about a permanent partner and the corresponding social and legal ramifications of marriage.</w:t>
      </w:r>
      <w:r w:rsidR="001137DD" w:rsidRPr="001137DD">
        <w:rPr>
          <w:rFonts w:asciiTheme="majorHAnsi" w:hAnsiTheme="majorHAnsi"/>
          <w:sz w:val="22"/>
          <w:szCs w:val="22"/>
        </w:rPr>
        <w:t xml:space="preserve"> Accordingly, </w:t>
      </w:r>
      <w:r w:rsidR="001137DD" w:rsidRPr="001137DD">
        <w:rPr>
          <w:rFonts w:asciiTheme="majorHAnsi" w:hAnsiTheme="majorHAnsi" w:cs="Segoe UI"/>
          <w:sz w:val="22"/>
          <w:szCs w:val="22"/>
          <w:lang w:val="mi-NZ"/>
        </w:rPr>
        <w:t xml:space="preserve">in its most recent evaluation of New Zealand’s performance (2012), the Convention recommended that New Zealand </w:t>
      </w:r>
      <w:r w:rsidR="001137DD" w:rsidRPr="001137DD">
        <w:rPr>
          <w:rFonts w:asciiTheme="majorHAnsi" w:hAnsiTheme="majorHAnsi" w:cs="Segoe UI"/>
          <w:i/>
          <w:sz w:val="22"/>
          <w:szCs w:val="22"/>
          <w:lang w:val="mi-NZ"/>
        </w:rPr>
        <w:t>“Revise the legal minimum age of marriage to 18 years without any exceptions for parental consent”.</w:t>
      </w:r>
      <w:r w:rsidR="00D06D3A">
        <w:rPr>
          <w:rStyle w:val="FootnoteReference"/>
          <w:rFonts w:asciiTheme="majorHAnsi" w:hAnsiTheme="majorHAnsi" w:cs="Segoe UI"/>
          <w:i/>
          <w:sz w:val="22"/>
          <w:szCs w:val="22"/>
          <w:lang w:val="mi-NZ"/>
        </w:rPr>
        <w:footnoteReference w:id="1"/>
      </w:r>
    </w:p>
    <w:p w:rsidR="00384BC9" w:rsidRPr="00384BC9" w:rsidRDefault="00384BC9" w:rsidP="00BD6CE9">
      <w:pPr>
        <w:pStyle w:val="ListParagraph"/>
        <w:widowControl/>
        <w:numPr>
          <w:ilvl w:val="0"/>
          <w:numId w:val="20"/>
        </w:numPr>
        <w:tabs>
          <w:tab w:val="clear" w:pos="607"/>
          <w:tab w:val="clear" w:pos="1164"/>
        </w:tabs>
        <w:suppressAutoHyphens w:val="0"/>
        <w:autoSpaceDE/>
        <w:autoSpaceDN/>
        <w:adjustRightInd/>
        <w:spacing w:after="200" w:line="360" w:lineRule="auto"/>
        <w:ind w:left="357" w:hanging="357"/>
        <w:contextualSpacing w:val="0"/>
        <w:jc w:val="both"/>
        <w:textAlignment w:val="auto"/>
        <w:rPr>
          <w:rFonts w:asciiTheme="majorHAnsi" w:hAnsiTheme="majorHAnsi"/>
          <w:sz w:val="22"/>
          <w:szCs w:val="22"/>
        </w:rPr>
      </w:pPr>
      <w:r w:rsidRPr="00384BC9">
        <w:rPr>
          <w:rFonts w:asciiTheme="majorHAnsi" w:hAnsiTheme="majorHAnsi"/>
          <w:sz w:val="22"/>
          <w:szCs w:val="22"/>
        </w:rPr>
        <w:t xml:space="preserve">We would like the Committee to consider the transitory demands of adolescence, and the paramountcy that all young people are afforded the opportunity to develop </w:t>
      </w:r>
      <w:r w:rsidR="000B1C28">
        <w:rPr>
          <w:rFonts w:asciiTheme="majorHAnsi" w:hAnsiTheme="majorHAnsi"/>
          <w:sz w:val="22"/>
          <w:szCs w:val="22"/>
        </w:rPr>
        <w:t>social and relational world</w:t>
      </w:r>
      <w:r w:rsidRPr="00384BC9">
        <w:rPr>
          <w:rFonts w:asciiTheme="majorHAnsi" w:hAnsiTheme="majorHAnsi"/>
          <w:sz w:val="22"/>
          <w:szCs w:val="22"/>
        </w:rPr>
        <w:t xml:space="preserve"> from a secure base that promotes the security and consistency necessary to facilitate adolescent development. We anticipate the argument that 16 is the legal age to consent to sex, and that the concept of con</w:t>
      </w:r>
      <w:r w:rsidR="00AC2FA6">
        <w:rPr>
          <w:rFonts w:asciiTheme="majorHAnsi" w:hAnsiTheme="majorHAnsi"/>
          <w:sz w:val="22"/>
          <w:szCs w:val="22"/>
        </w:rPr>
        <w:t>sent</w:t>
      </w:r>
      <w:r w:rsidRPr="00384BC9">
        <w:rPr>
          <w:rFonts w:asciiTheme="majorHAnsi" w:hAnsiTheme="majorHAnsi"/>
          <w:sz w:val="22"/>
          <w:szCs w:val="22"/>
        </w:rPr>
        <w:t xml:space="preserve"> is consequently transferable to marriage. However, we contest that there are </w:t>
      </w:r>
      <w:r w:rsidR="0051536B">
        <w:rPr>
          <w:rFonts w:asciiTheme="majorHAnsi" w:hAnsiTheme="majorHAnsi"/>
          <w:sz w:val="22"/>
          <w:szCs w:val="22"/>
        </w:rPr>
        <w:t>integral</w:t>
      </w:r>
      <w:r w:rsidRPr="00384BC9">
        <w:rPr>
          <w:rFonts w:asciiTheme="majorHAnsi" w:hAnsiTheme="majorHAnsi"/>
          <w:sz w:val="22"/>
          <w:szCs w:val="22"/>
        </w:rPr>
        <w:t xml:space="preserve"> differences between a young person exercising their evolving autonomy to give consent in a sexual relationship that they can withdraw from at any time whilst simultaneously free of</w:t>
      </w:r>
      <w:r w:rsidR="003D3722">
        <w:rPr>
          <w:rFonts w:asciiTheme="majorHAnsi" w:hAnsiTheme="majorHAnsi"/>
          <w:sz w:val="22"/>
          <w:szCs w:val="22"/>
        </w:rPr>
        <w:t xml:space="preserve"> the</w:t>
      </w:r>
      <w:r w:rsidRPr="00384BC9">
        <w:rPr>
          <w:rFonts w:asciiTheme="majorHAnsi" w:hAnsiTheme="majorHAnsi"/>
          <w:sz w:val="22"/>
          <w:szCs w:val="22"/>
        </w:rPr>
        <w:t xml:space="preserve"> socially embedded expectations of marriage, and a young person attempting to exercise autonomy in a marriage partnership where those safeguards may not be present. </w:t>
      </w:r>
    </w:p>
    <w:p w:rsidR="00384BC9" w:rsidRPr="00384BC9" w:rsidRDefault="00384BC9" w:rsidP="00BD6CE9">
      <w:pPr>
        <w:pStyle w:val="ListParagraph"/>
        <w:widowControl/>
        <w:numPr>
          <w:ilvl w:val="0"/>
          <w:numId w:val="20"/>
        </w:numPr>
        <w:tabs>
          <w:tab w:val="clear" w:pos="607"/>
          <w:tab w:val="clear" w:pos="1164"/>
        </w:tabs>
        <w:suppressAutoHyphens w:val="0"/>
        <w:autoSpaceDE/>
        <w:autoSpaceDN/>
        <w:adjustRightInd/>
        <w:spacing w:after="200" w:line="360" w:lineRule="auto"/>
        <w:ind w:left="357" w:hanging="357"/>
        <w:contextualSpacing w:val="0"/>
        <w:jc w:val="both"/>
        <w:textAlignment w:val="auto"/>
        <w:rPr>
          <w:rFonts w:asciiTheme="majorHAnsi" w:hAnsiTheme="majorHAnsi"/>
          <w:sz w:val="22"/>
          <w:szCs w:val="22"/>
        </w:rPr>
      </w:pPr>
      <w:r w:rsidRPr="00384BC9">
        <w:rPr>
          <w:rFonts w:asciiTheme="majorHAnsi" w:hAnsiTheme="majorHAnsi"/>
          <w:sz w:val="22"/>
          <w:szCs w:val="22"/>
        </w:rPr>
        <w:t xml:space="preserve">Adolescents’ agency progressively develops as they begin to diversify their peer networks and develop their identity and self-concept. We submit that entering into a marriage while this identity and self-concept is still being developed heightens the chances of adolescents being unwittingly pressured into adhering to partners’ expectations of marriage, without the level of social power typically accompanying adulthood. It is this social power that enables adults to feel comfortable in asserting their right not to consent to sexual activity, to </w:t>
      </w:r>
      <w:proofErr w:type="spellStart"/>
      <w:r w:rsidRPr="00384BC9">
        <w:rPr>
          <w:rFonts w:asciiTheme="majorHAnsi" w:hAnsiTheme="majorHAnsi"/>
          <w:sz w:val="22"/>
          <w:szCs w:val="22"/>
        </w:rPr>
        <w:t>recognise</w:t>
      </w:r>
      <w:proofErr w:type="spellEnd"/>
      <w:r w:rsidRPr="00384BC9">
        <w:rPr>
          <w:rFonts w:asciiTheme="majorHAnsi" w:hAnsiTheme="majorHAnsi"/>
          <w:sz w:val="22"/>
          <w:szCs w:val="22"/>
        </w:rPr>
        <w:t xml:space="preserve"> and set limits about partnered </w:t>
      </w:r>
      <w:proofErr w:type="spellStart"/>
      <w:r w:rsidRPr="00384BC9">
        <w:rPr>
          <w:rFonts w:asciiTheme="majorHAnsi" w:hAnsiTheme="majorHAnsi"/>
          <w:sz w:val="22"/>
          <w:szCs w:val="22"/>
        </w:rPr>
        <w:t>behaviour</w:t>
      </w:r>
      <w:proofErr w:type="spellEnd"/>
      <w:r w:rsidRPr="00384BC9">
        <w:rPr>
          <w:rFonts w:asciiTheme="majorHAnsi" w:hAnsiTheme="majorHAnsi"/>
          <w:sz w:val="22"/>
          <w:szCs w:val="22"/>
        </w:rPr>
        <w:t xml:space="preserve">, and to seek alternatives if the marriage becomes unsafe or unwanted. We contend that 16 and 17 year olds </w:t>
      </w:r>
      <w:r w:rsidRPr="00384BC9">
        <w:rPr>
          <w:rFonts w:asciiTheme="majorHAnsi" w:hAnsiTheme="majorHAnsi"/>
          <w:sz w:val="22"/>
          <w:szCs w:val="22"/>
        </w:rPr>
        <w:lastRenderedPageBreak/>
        <w:t xml:space="preserve">do not have this social power, and it is unlikely to be conferred on them by way of marriage. We therefore ask that the Committee consider whether marriage of 16 and 17 year olds in any circumstance is allowing them to </w:t>
      </w:r>
      <w:proofErr w:type="spellStart"/>
      <w:r w:rsidRPr="00384BC9">
        <w:rPr>
          <w:rFonts w:asciiTheme="majorHAnsi" w:hAnsiTheme="majorHAnsi"/>
          <w:sz w:val="22"/>
          <w:szCs w:val="22"/>
        </w:rPr>
        <w:t>actualise</w:t>
      </w:r>
      <w:proofErr w:type="spellEnd"/>
      <w:r w:rsidRPr="00384BC9">
        <w:rPr>
          <w:rFonts w:asciiTheme="majorHAnsi" w:hAnsiTheme="majorHAnsi"/>
          <w:sz w:val="22"/>
          <w:szCs w:val="22"/>
        </w:rPr>
        <w:t xml:space="preserve"> their agency as supposed, or whether it is suppressing it through a false </w:t>
      </w:r>
      <w:proofErr w:type="spellStart"/>
      <w:r w:rsidRPr="00384BC9">
        <w:rPr>
          <w:rFonts w:asciiTheme="majorHAnsi" w:hAnsiTheme="majorHAnsi"/>
          <w:sz w:val="22"/>
          <w:szCs w:val="22"/>
        </w:rPr>
        <w:t>legitimising</w:t>
      </w:r>
      <w:proofErr w:type="spellEnd"/>
      <w:r w:rsidRPr="00384BC9">
        <w:rPr>
          <w:rFonts w:asciiTheme="majorHAnsi" w:hAnsiTheme="majorHAnsi"/>
          <w:sz w:val="22"/>
          <w:szCs w:val="22"/>
        </w:rPr>
        <w:t xml:space="preserve"> of partial consent. </w:t>
      </w:r>
    </w:p>
    <w:p w:rsidR="00384BC9" w:rsidRPr="00384BC9" w:rsidRDefault="00384BC9" w:rsidP="00BD6CE9">
      <w:pPr>
        <w:pStyle w:val="ListParagraph"/>
        <w:widowControl/>
        <w:numPr>
          <w:ilvl w:val="0"/>
          <w:numId w:val="20"/>
        </w:numPr>
        <w:tabs>
          <w:tab w:val="clear" w:pos="607"/>
          <w:tab w:val="clear" w:pos="1164"/>
        </w:tabs>
        <w:suppressAutoHyphens w:val="0"/>
        <w:autoSpaceDE/>
        <w:autoSpaceDN/>
        <w:adjustRightInd/>
        <w:spacing w:after="200" w:line="360" w:lineRule="auto"/>
        <w:ind w:left="357" w:hanging="357"/>
        <w:contextualSpacing w:val="0"/>
        <w:jc w:val="both"/>
        <w:textAlignment w:val="auto"/>
        <w:rPr>
          <w:rFonts w:asciiTheme="majorHAnsi" w:hAnsiTheme="majorHAnsi"/>
          <w:sz w:val="22"/>
          <w:szCs w:val="22"/>
        </w:rPr>
      </w:pPr>
      <w:r w:rsidRPr="00384BC9">
        <w:rPr>
          <w:rFonts w:asciiTheme="majorHAnsi" w:hAnsiTheme="majorHAnsi"/>
          <w:sz w:val="22"/>
          <w:szCs w:val="22"/>
        </w:rPr>
        <w:t xml:space="preserve">In the last several years, </w:t>
      </w:r>
      <w:r w:rsidR="003D3722">
        <w:rPr>
          <w:rFonts w:asciiTheme="majorHAnsi" w:hAnsiTheme="majorHAnsi"/>
          <w:sz w:val="22"/>
          <w:szCs w:val="22"/>
        </w:rPr>
        <w:t>NCIWR has</w:t>
      </w:r>
      <w:r w:rsidRPr="00384BC9">
        <w:rPr>
          <w:rFonts w:asciiTheme="majorHAnsi" w:hAnsiTheme="majorHAnsi"/>
          <w:sz w:val="22"/>
          <w:szCs w:val="22"/>
        </w:rPr>
        <w:t xml:space="preserve"> seen a dramatic increase in the number of adolescent girls accessing our services after being physically, sexually, and emotionally abused by their partners, who can be either adolescents or adults. The lack of social power available to them makes it significantly more difficult for them to access safety, as avenues for interpersonal support, validating responses by peer groups, and the freedom to engage in services is often precluded by their age and comparative cognitive immaturity. If we consider the additional implications of girls in similar situations who have entered into the legal, cultural, and social contract of marriage, we then see them face additional barriers as familial expectations often supersede personal desires for safety or freedom from partnership. </w:t>
      </w:r>
    </w:p>
    <w:p w:rsidR="00F82FF6" w:rsidRPr="00F82FF6" w:rsidRDefault="00384BC9" w:rsidP="00BD6CE9">
      <w:pPr>
        <w:pStyle w:val="ListParagraph"/>
        <w:widowControl/>
        <w:numPr>
          <w:ilvl w:val="0"/>
          <w:numId w:val="20"/>
        </w:numPr>
        <w:tabs>
          <w:tab w:val="clear" w:pos="607"/>
          <w:tab w:val="clear" w:pos="1164"/>
        </w:tabs>
        <w:suppressAutoHyphens w:val="0"/>
        <w:autoSpaceDE/>
        <w:autoSpaceDN/>
        <w:adjustRightInd/>
        <w:spacing w:after="200" w:line="360" w:lineRule="auto"/>
        <w:ind w:left="357" w:hanging="357"/>
        <w:contextualSpacing w:val="0"/>
        <w:jc w:val="both"/>
        <w:textAlignment w:val="auto"/>
        <w:rPr>
          <w:rFonts w:asciiTheme="majorHAnsi" w:hAnsiTheme="majorHAnsi"/>
          <w:sz w:val="22"/>
          <w:szCs w:val="22"/>
        </w:rPr>
      </w:pPr>
      <w:r w:rsidRPr="00384BC9">
        <w:rPr>
          <w:rFonts w:asciiTheme="majorHAnsi" w:hAnsiTheme="majorHAnsi"/>
          <w:sz w:val="22"/>
          <w:szCs w:val="22"/>
        </w:rPr>
        <w:t>Marriage of minors may present significant disadvantages to their health, wellbeing, safety, and economic prospects.</w:t>
      </w:r>
      <w:r w:rsidRPr="00384BC9">
        <w:rPr>
          <w:rStyle w:val="FootnoteReference"/>
          <w:rFonts w:asciiTheme="majorHAnsi" w:hAnsiTheme="majorHAnsi"/>
          <w:sz w:val="22"/>
          <w:szCs w:val="22"/>
        </w:rPr>
        <w:footnoteReference w:id="2"/>
      </w:r>
      <w:r w:rsidRPr="00384BC9">
        <w:rPr>
          <w:rFonts w:asciiTheme="majorHAnsi" w:hAnsiTheme="majorHAnsi"/>
          <w:sz w:val="22"/>
          <w:szCs w:val="22"/>
        </w:rPr>
        <w:t xml:space="preserve"> The Convention recommends that when developing marriage law, attention must be given to the attainment of substantive as well as formal equality. Accordingly, under Articles 2(f) and 5(a), the Convention states that State Parties must attend to cultural and social customs and normative practices that promote or perpetuate any form of discrimination or gendered expectations for men and women. In practice, this means considering the ways in which allowing marriage of 16 and 17 year olds to be perpetuated as a legal practice disproportionately disadvantages women and girls. In our experience, young women in this position are often partnered with men whose economic and social status is substantially higher than their own, and are rarely able to exercise equal decision-making power within the partnership. Often, they are compelled to submit to their partners’ wishes, and face social exclusion if they do not. Too frequently, this means the young woman’s partner dictating whether they do or do not work outside the home, whether they do or do not enter and complete higher education </w:t>
      </w:r>
      <w:proofErr w:type="spellStart"/>
      <w:r w:rsidRPr="00384BC9">
        <w:rPr>
          <w:rFonts w:asciiTheme="majorHAnsi" w:hAnsiTheme="majorHAnsi"/>
          <w:sz w:val="22"/>
          <w:szCs w:val="22"/>
        </w:rPr>
        <w:t>programmes</w:t>
      </w:r>
      <w:proofErr w:type="spellEnd"/>
      <w:r w:rsidRPr="00384BC9">
        <w:rPr>
          <w:rFonts w:asciiTheme="majorHAnsi" w:hAnsiTheme="majorHAnsi"/>
          <w:sz w:val="22"/>
          <w:szCs w:val="22"/>
        </w:rPr>
        <w:t xml:space="preserve">, and whether, and when, they have children. This is not equal. We consequently </w:t>
      </w:r>
      <w:r w:rsidRPr="00384BC9">
        <w:rPr>
          <w:rFonts w:asciiTheme="majorHAnsi" w:hAnsiTheme="majorHAnsi"/>
          <w:sz w:val="22"/>
          <w:szCs w:val="22"/>
        </w:rPr>
        <w:lastRenderedPageBreak/>
        <w:t xml:space="preserve">submit that to </w:t>
      </w:r>
      <w:r w:rsidR="00672272">
        <w:rPr>
          <w:rFonts w:asciiTheme="majorHAnsi" w:hAnsiTheme="majorHAnsi"/>
          <w:sz w:val="22"/>
          <w:szCs w:val="22"/>
        </w:rPr>
        <w:t xml:space="preserve">protect young people’s freedom to develop their personal identity and potential, marriage should be disallowed for all people under 18. </w:t>
      </w:r>
      <w:r w:rsidRPr="00384BC9">
        <w:rPr>
          <w:rFonts w:asciiTheme="majorHAnsi" w:hAnsiTheme="majorHAnsi"/>
          <w:sz w:val="22"/>
          <w:szCs w:val="22"/>
        </w:rPr>
        <w:t xml:space="preserve"> </w:t>
      </w:r>
    </w:p>
    <w:p w:rsidR="00F82FF6" w:rsidRPr="00F82FF6" w:rsidRDefault="00F82FF6" w:rsidP="00F82FF6">
      <w:pPr>
        <w:pStyle w:val="Heading1"/>
        <w:rPr>
          <w:color w:val="7030A0"/>
          <w:sz w:val="24"/>
          <w:szCs w:val="24"/>
        </w:rPr>
      </w:pPr>
      <w:r>
        <w:rPr>
          <w:color w:val="7030A0"/>
          <w:sz w:val="24"/>
          <w:szCs w:val="24"/>
        </w:rPr>
        <w:t xml:space="preserve">Recommendation 2: </w:t>
      </w:r>
      <w:proofErr w:type="spellStart"/>
      <w:r>
        <w:rPr>
          <w:color w:val="7030A0"/>
          <w:sz w:val="24"/>
          <w:szCs w:val="24"/>
        </w:rPr>
        <w:t>Minimising</w:t>
      </w:r>
      <w:proofErr w:type="spellEnd"/>
      <w:r>
        <w:rPr>
          <w:color w:val="7030A0"/>
          <w:sz w:val="24"/>
          <w:szCs w:val="24"/>
        </w:rPr>
        <w:t xml:space="preserve"> Potential for Coercion</w:t>
      </w:r>
    </w:p>
    <w:p w:rsidR="003E1E74" w:rsidRDefault="00F82FF6" w:rsidP="00BD6CE9">
      <w:pPr>
        <w:pStyle w:val="ListParagraph"/>
        <w:widowControl/>
        <w:numPr>
          <w:ilvl w:val="0"/>
          <w:numId w:val="20"/>
        </w:numPr>
        <w:tabs>
          <w:tab w:val="clear" w:pos="607"/>
          <w:tab w:val="clear" w:pos="1164"/>
        </w:tabs>
        <w:suppressAutoHyphens w:val="0"/>
        <w:autoSpaceDE/>
        <w:autoSpaceDN/>
        <w:adjustRightInd/>
        <w:spacing w:after="200" w:line="360" w:lineRule="auto"/>
        <w:ind w:left="357" w:hanging="357"/>
        <w:contextualSpacing w:val="0"/>
        <w:jc w:val="both"/>
        <w:textAlignment w:val="auto"/>
        <w:rPr>
          <w:rFonts w:asciiTheme="majorHAnsi" w:hAnsiTheme="majorHAnsi"/>
          <w:sz w:val="22"/>
          <w:szCs w:val="22"/>
        </w:rPr>
      </w:pPr>
      <w:r w:rsidRPr="00F82FF6">
        <w:rPr>
          <w:rFonts w:asciiTheme="majorHAnsi" w:hAnsiTheme="majorHAnsi"/>
          <w:sz w:val="22"/>
          <w:szCs w:val="22"/>
        </w:rPr>
        <w:t xml:space="preserve">Removing the potential for 16 and 17 year olds to marry is our preferred option for the safeguarding of young women and the attainment of substantive equality for women. However, if provisions are made to continue to enable the marriage of young people, we argue that these provisions must ensure that potential for coercion of applicants to marry is </w:t>
      </w:r>
      <w:proofErr w:type="spellStart"/>
      <w:r w:rsidRPr="00F82FF6">
        <w:rPr>
          <w:rFonts w:asciiTheme="majorHAnsi" w:hAnsiTheme="majorHAnsi"/>
          <w:sz w:val="22"/>
          <w:szCs w:val="22"/>
        </w:rPr>
        <w:t>minimised</w:t>
      </w:r>
      <w:proofErr w:type="spellEnd"/>
      <w:r w:rsidRPr="00F82FF6">
        <w:rPr>
          <w:rFonts w:asciiTheme="majorHAnsi" w:hAnsiTheme="majorHAnsi"/>
          <w:sz w:val="22"/>
          <w:szCs w:val="22"/>
        </w:rPr>
        <w:t xml:space="preserve">. Accordingly, we argue for young people to be accorded opportunities to speak to decision-makers without influence or interference from family. </w:t>
      </w:r>
    </w:p>
    <w:p w:rsidR="003E1E74" w:rsidRDefault="00D34421" w:rsidP="00BD6CE9">
      <w:pPr>
        <w:pStyle w:val="ListParagraph"/>
        <w:widowControl/>
        <w:numPr>
          <w:ilvl w:val="0"/>
          <w:numId w:val="20"/>
        </w:numPr>
        <w:tabs>
          <w:tab w:val="clear" w:pos="607"/>
          <w:tab w:val="clear" w:pos="1164"/>
        </w:tabs>
        <w:suppressAutoHyphens w:val="0"/>
        <w:autoSpaceDE/>
        <w:autoSpaceDN/>
        <w:adjustRightInd/>
        <w:spacing w:after="200" w:line="360" w:lineRule="auto"/>
        <w:ind w:left="357" w:hanging="357"/>
        <w:contextualSpacing w:val="0"/>
        <w:jc w:val="both"/>
        <w:textAlignment w:val="auto"/>
        <w:rPr>
          <w:rFonts w:asciiTheme="majorHAnsi" w:hAnsiTheme="majorHAnsi"/>
          <w:sz w:val="22"/>
          <w:szCs w:val="22"/>
        </w:rPr>
      </w:pPr>
      <w:r w:rsidRPr="003E1E74">
        <w:rPr>
          <w:rFonts w:asciiTheme="majorHAnsi" w:hAnsiTheme="majorHAnsi"/>
          <w:sz w:val="22"/>
          <w:szCs w:val="22"/>
        </w:rPr>
        <w:t>In order to fairly consider young people’s preferences and motivations for marriage above those of other invested parties such as parents, we propose the following: that the young person is entitled to support through the Family Court, such as counselling, prior to the date of the hearing; and that the young person may request that the hearing is partially or wholly held without the parents being present</w:t>
      </w:r>
      <w:r w:rsidR="003E1E74">
        <w:rPr>
          <w:rFonts w:asciiTheme="majorHAnsi" w:hAnsiTheme="majorHAnsi"/>
          <w:sz w:val="22"/>
          <w:szCs w:val="22"/>
        </w:rPr>
        <w:t>.</w:t>
      </w:r>
    </w:p>
    <w:p w:rsidR="003E1E74" w:rsidRPr="003E1E74" w:rsidRDefault="003E1E74" w:rsidP="003E1E74">
      <w:pPr>
        <w:pStyle w:val="Heading1"/>
        <w:rPr>
          <w:color w:val="7030A0"/>
          <w:sz w:val="24"/>
          <w:szCs w:val="24"/>
        </w:rPr>
      </w:pPr>
      <w:r>
        <w:rPr>
          <w:color w:val="7030A0"/>
          <w:sz w:val="24"/>
          <w:szCs w:val="24"/>
        </w:rPr>
        <w:t>Recommendation 3: Providing for Young People to Access Advocacy and Guidance</w:t>
      </w:r>
    </w:p>
    <w:p w:rsidR="003E1E74" w:rsidRDefault="003E1E74" w:rsidP="00BD6CE9">
      <w:pPr>
        <w:pStyle w:val="ListParagraph"/>
        <w:widowControl/>
        <w:numPr>
          <w:ilvl w:val="0"/>
          <w:numId w:val="20"/>
        </w:numPr>
        <w:tabs>
          <w:tab w:val="clear" w:pos="607"/>
          <w:tab w:val="clear" w:pos="1164"/>
        </w:tabs>
        <w:suppressAutoHyphens w:val="0"/>
        <w:autoSpaceDE/>
        <w:autoSpaceDN/>
        <w:adjustRightInd/>
        <w:spacing w:after="200" w:line="360" w:lineRule="auto"/>
        <w:ind w:left="357" w:hanging="357"/>
        <w:contextualSpacing w:val="0"/>
        <w:jc w:val="both"/>
        <w:textAlignment w:val="auto"/>
        <w:rPr>
          <w:rFonts w:asciiTheme="majorHAnsi" w:hAnsiTheme="majorHAnsi"/>
          <w:sz w:val="22"/>
          <w:szCs w:val="22"/>
        </w:rPr>
      </w:pPr>
      <w:r w:rsidRPr="003E1E74">
        <w:rPr>
          <w:rFonts w:asciiTheme="majorHAnsi" w:hAnsiTheme="majorHAnsi"/>
          <w:sz w:val="22"/>
          <w:szCs w:val="22"/>
        </w:rPr>
        <w:t xml:space="preserve">As with Recommendation 2, we submit that all possible provisions to safeguard young people’s decision-making and freedom from coercion should be developed and implemented. Further to our argument that applicants to marry should be given opportunity to speak without the influence of others, we contend that they should also be provided with a lay advocate. </w:t>
      </w:r>
    </w:p>
    <w:p w:rsidR="003E1E74" w:rsidRDefault="00384BC9" w:rsidP="00BD6CE9">
      <w:pPr>
        <w:pStyle w:val="ListParagraph"/>
        <w:widowControl/>
        <w:numPr>
          <w:ilvl w:val="0"/>
          <w:numId w:val="20"/>
        </w:numPr>
        <w:tabs>
          <w:tab w:val="clear" w:pos="607"/>
          <w:tab w:val="clear" w:pos="1164"/>
        </w:tabs>
        <w:suppressAutoHyphens w:val="0"/>
        <w:autoSpaceDE/>
        <w:autoSpaceDN/>
        <w:adjustRightInd/>
        <w:spacing w:after="200" w:line="360" w:lineRule="auto"/>
        <w:ind w:left="357" w:hanging="357"/>
        <w:contextualSpacing w:val="0"/>
        <w:jc w:val="both"/>
        <w:textAlignment w:val="auto"/>
        <w:rPr>
          <w:rFonts w:asciiTheme="majorHAnsi" w:hAnsiTheme="majorHAnsi"/>
          <w:sz w:val="22"/>
          <w:szCs w:val="22"/>
        </w:rPr>
      </w:pPr>
      <w:r w:rsidRPr="003E1E74">
        <w:rPr>
          <w:rFonts w:asciiTheme="majorHAnsi" w:hAnsiTheme="majorHAnsi"/>
          <w:sz w:val="22"/>
          <w:szCs w:val="22"/>
        </w:rPr>
        <w:t xml:space="preserve">It is presently unclear </w:t>
      </w:r>
      <w:r w:rsidR="00072067" w:rsidRPr="003E1E74">
        <w:rPr>
          <w:rFonts w:asciiTheme="majorHAnsi" w:hAnsiTheme="majorHAnsi"/>
          <w:sz w:val="22"/>
          <w:szCs w:val="22"/>
        </w:rPr>
        <w:t>how</w:t>
      </w:r>
      <w:r w:rsidRPr="003E1E74">
        <w:rPr>
          <w:rFonts w:asciiTheme="majorHAnsi" w:hAnsiTheme="majorHAnsi"/>
          <w:sz w:val="22"/>
          <w:szCs w:val="22"/>
        </w:rPr>
        <w:t xml:space="preserve"> the young person applying to marry will have access to legal representation. </w:t>
      </w:r>
      <w:r w:rsidR="00072067" w:rsidRPr="003E1E74">
        <w:rPr>
          <w:rFonts w:asciiTheme="majorHAnsi" w:hAnsiTheme="majorHAnsi"/>
          <w:sz w:val="22"/>
          <w:szCs w:val="22"/>
        </w:rPr>
        <w:t xml:space="preserve">If this is intended to be through legal aid processes, it raises questions about young people’s capacity to traverse bureaucratic barriers in order to ensure that their voices are heard the loudest, especially in situations where parents may have a desired outcome in mind and attach their personal resources to the attainment of that outcome. If the young person’s legal representation is provided by their family, this too appears to negate the intended separation of parents’ voices from the young person’s voice within the hearing. </w:t>
      </w:r>
    </w:p>
    <w:p w:rsidR="00384BC9" w:rsidRPr="00BD6CE9" w:rsidRDefault="00F82FF6" w:rsidP="00384BC9">
      <w:pPr>
        <w:pStyle w:val="ListParagraph"/>
        <w:widowControl/>
        <w:numPr>
          <w:ilvl w:val="0"/>
          <w:numId w:val="20"/>
        </w:numPr>
        <w:tabs>
          <w:tab w:val="clear" w:pos="607"/>
          <w:tab w:val="clear" w:pos="1164"/>
        </w:tabs>
        <w:suppressAutoHyphens w:val="0"/>
        <w:autoSpaceDE/>
        <w:autoSpaceDN/>
        <w:adjustRightInd/>
        <w:spacing w:after="200" w:line="360" w:lineRule="auto"/>
        <w:ind w:left="357" w:hanging="357"/>
        <w:contextualSpacing w:val="0"/>
        <w:jc w:val="both"/>
        <w:textAlignment w:val="auto"/>
        <w:rPr>
          <w:rFonts w:asciiTheme="majorHAnsi" w:hAnsiTheme="majorHAnsi"/>
          <w:sz w:val="22"/>
          <w:szCs w:val="22"/>
        </w:rPr>
      </w:pPr>
      <w:r w:rsidRPr="003E1E74">
        <w:rPr>
          <w:rFonts w:asciiTheme="majorHAnsi" w:hAnsiTheme="majorHAnsi"/>
          <w:sz w:val="22"/>
          <w:szCs w:val="22"/>
        </w:rPr>
        <w:lastRenderedPageBreak/>
        <w:t xml:space="preserve">We submit that a lay advocate assigned by the Court would allay these potential risks and enable the young person to communicate confidently in matters relating to the hearing. </w:t>
      </w:r>
    </w:p>
    <w:p w:rsidR="00384BC9" w:rsidRPr="00384BC9" w:rsidRDefault="00384BC9" w:rsidP="00384BC9">
      <w:pPr>
        <w:pStyle w:val="Heading1"/>
        <w:rPr>
          <w:color w:val="7030A0"/>
          <w:sz w:val="24"/>
          <w:szCs w:val="24"/>
        </w:rPr>
      </w:pPr>
      <w:r>
        <w:rPr>
          <w:color w:val="7030A0"/>
          <w:sz w:val="24"/>
          <w:szCs w:val="24"/>
        </w:rPr>
        <w:t>Concluding Comments</w:t>
      </w:r>
    </w:p>
    <w:p w:rsidR="00BD6CE9" w:rsidRDefault="00BD6CE9" w:rsidP="00BD6CE9">
      <w:pPr>
        <w:pStyle w:val="ListParagraph"/>
        <w:numPr>
          <w:ilvl w:val="0"/>
          <w:numId w:val="20"/>
        </w:numPr>
        <w:spacing w:after="200" w:line="360" w:lineRule="auto"/>
        <w:ind w:left="357" w:hanging="357"/>
        <w:contextualSpacing w:val="0"/>
        <w:jc w:val="both"/>
        <w:rPr>
          <w:rFonts w:asciiTheme="majorHAnsi" w:hAnsiTheme="majorHAnsi"/>
          <w:sz w:val="22"/>
          <w:szCs w:val="22"/>
        </w:rPr>
      </w:pPr>
      <w:r>
        <w:rPr>
          <w:rFonts w:asciiTheme="majorHAnsi" w:hAnsiTheme="majorHAnsi"/>
          <w:sz w:val="22"/>
          <w:szCs w:val="22"/>
        </w:rPr>
        <w:t xml:space="preserve">In conclusion, NCIWR applauds the intention behind this Bill. It is our experience that parents hold substantial decision-making power regarding young people’s relationships and the </w:t>
      </w:r>
      <w:proofErr w:type="spellStart"/>
      <w:r>
        <w:rPr>
          <w:rFonts w:asciiTheme="majorHAnsi" w:hAnsiTheme="majorHAnsi"/>
          <w:sz w:val="22"/>
          <w:szCs w:val="22"/>
        </w:rPr>
        <w:t>formalisation</w:t>
      </w:r>
      <w:proofErr w:type="spellEnd"/>
      <w:r>
        <w:rPr>
          <w:rFonts w:asciiTheme="majorHAnsi" w:hAnsiTheme="majorHAnsi"/>
          <w:sz w:val="22"/>
          <w:szCs w:val="22"/>
        </w:rPr>
        <w:t xml:space="preserve"> of these, and that the potential for coercion into marriage is currently at an unacceptable level. We agree that this Bill is likely to diminish this potential.</w:t>
      </w:r>
    </w:p>
    <w:p w:rsidR="00384BC9" w:rsidRDefault="00BD6CE9" w:rsidP="00BD6CE9">
      <w:pPr>
        <w:pStyle w:val="ListParagraph"/>
        <w:numPr>
          <w:ilvl w:val="0"/>
          <w:numId w:val="20"/>
        </w:numPr>
        <w:spacing w:after="200" w:line="360" w:lineRule="auto"/>
        <w:ind w:left="357" w:hanging="357"/>
        <w:contextualSpacing w:val="0"/>
        <w:jc w:val="both"/>
        <w:rPr>
          <w:rFonts w:asciiTheme="majorHAnsi" w:hAnsiTheme="majorHAnsi"/>
          <w:sz w:val="22"/>
          <w:szCs w:val="22"/>
        </w:rPr>
      </w:pPr>
      <w:r>
        <w:rPr>
          <w:rFonts w:asciiTheme="majorHAnsi" w:hAnsiTheme="majorHAnsi"/>
          <w:sz w:val="22"/>
          <w:szCs w:val="22"/>
        </w:rPr>
        <w:t xml:space="preserve"> We contend that this Bill is insufficient to truly safeguard the security, autonomy, and freedom for future decisions of young people, and that this can only be achieved by disallowing the marriage of minors.</w:t>
      </w:r>
    </w:p>
    <w:p w:rsidR="00BD6CE9" w:rsidRPr="00BD6CE9" w:rsidRDefault="00BD6CE9" w:rsidP="00BD6CE9">
      <w:pPr>
        <w:pStyle w:val="ListParagraph"/>
        <w:numPr>
          <w:ilvl w:val="0"/>
          <w:numId w:val="20"/>
        </w:numPr>
        <w:spacing w:after="200" w:line="360" w:lineRule="auto"/>
        <w:ind w:left="357" w:hanging="357"/>
        <w:contextualSpacing w:val="0"/>
        <w:jc w:val="both"/>
        <w:rPr>
          <w:rFonts w:asciiTheme="majorHAnsi" w:hAnsiTheme="majorHAnsi"/>
          <w:sz w:val="22"/>
          <w:szCs w:val="22"/>
        </w:rPr>
      </w:pPr>
      <w:r>
        <w:rPr>
          <w:rFonts w:asciiTheme="majorHAnsi" w:hAnsiTheme="majorHAnsi"/>
          <w:sz w:val="22"/>
          <w:szCs w:val="22"/>
        </w:rPr>
        <w:t xml:space="preserve">Finally, we argue that if the marriage of young people under 18 is to be allowed, it must be with caution and pathways to safety. Access to personal support, the option to exclude parents from aspects of the hearing process, and the introduction of a lay advocate may go some way toward providing for this. </w:t>
      </w:r>
    </w:p>
    <w:p w:rsidR="00384BC9" w:rsidRPr="001462E7" w:rsidRDefault="00384BC9" w:rsidP="00BD6CE9">
      <w:pPr>
        <w:spacing w:after="200"/>
        <w:jc w:val="both"/>
        <w:rPr>
          <w:b/>
        </w:rPr>
      </w:pPr>
    </w:p>
    <w:p w:rsidR="0070120C" w:rsidRPr="00135C2D" w:rsidRDefault="0070120C" w:rsidP="00135C2D"/>
    <w:sectPr w:rsidR="0070120C" w:rsidRPr="00135C2D" w:rsidSect="00530247">
      <w:headerReference w:type="default" r:id="rId9"/>
      <w:footerReference w:type="default" r:id="rId10"/>
      <w:pgSz w:w="11900" w:h="16840"/>
      <w:pgMar w:top="2835" w:right="907" w:bottom="1985" w:left="907"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8F" w:rsidRDefault="0074118F" w:rsidP="006E3B9B">
      <w:r>
        <w:separator/>
      </w:r>
    </w:p>
  </w:endnote>
  <w:endnote w:type="continuationSeparator" w:id="0">
    <w:p w:rsidR="0074118F" w:rsidRDefault="0074118F" w:rsidP="006E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6" w:space="0" w:color="000000"/>
      </w:tblBorders>
      <w:tblLayout w:type="fixed"/>
      <w:tblCellMar>
        <w:left w:w="0" w:type="dxa"/>
        <w:right w:w="0" w:type="dxa"/>
      </w:tblCellMar>
      <w:tblLook w:val="0000" w:firstRow="0" w:lastRow="0" w:firstColumn="0" w:lastColumn="0" w:noHBand="0" w:noVBand="0"/>
    </w:tblPr>
    <w:tblGrid>
      <w:gridCol w:w="1833"/>
      <w:gridCol w:w="7332"/>
      <w:gridCol w:w="1833"/>
    </w:tblGrid>
    <w:tr w:rsidR="00E232B9" w:rsidRPr="004F5CFC" w:rsidTr="001B7643">
      <w:trPr>
        <w:trHeight w:hRule="exact" w:val="907"/>
        <w:jc w:val="center"/>
      </w:trPr>
      <w:tc>
        <w:tcPr>
          <w:tcW w:w="10998" w:type="dxa"/>
          <w:gridSpan w:val="3"/>
          <w:tcMar>
            <w:top w:w="170" w:type="dxa"/>
            <w:left w:w="397" w:type="dxa"/>
            <w:bottom w:w="0" w:type="dxa"/>
            <w:right w:w="397" w:type="dxa"/>
          </w:tcMar>
        </w:tcPr>
        <w:p w:rsidR="00E232B9" w:rsidRPr="004F5CFC" w:rsidRDefault="00E232B9" w:rsidP="000946F2">
          <w:pPr>
            <w:pStyle w:val="WRfootercontact"/>
          </w:pPr>
          <w:r w:rsidRPr="004F5CFC">
            <w:rPr>
              <w:b/>
            </w:rPr>
            <w:t>For further information:</w:t>
          </w:r>
          <w:r w:rsidRPr="004F5CFC">
            <w:t xml:space="preserve"> contact Women’s Refuge National Office at info@refuge.org.nz, or PO Box </w:t>
          </w:r>
          <w:r w:rsidR="000946F2">
            <w:t>27-078, Wellington 6141</w:t>
          </w:r>
          <w:r w:rsidRPr="004F5CFC">
            <w:t>.</w:t>
          </w:r>
        </w:p>
      </w:tc>
    </w:tr>
    <w:tr w:rsidR="00E232B9" w:rsidRPr="004F5CFC" w:rsidTr="001B7643">
      <w:trPr>
        <w:trHeight w:val="60"/>
        <w:jc w:val="center"/>
      </w:trPr>
      <w:tc>
        <w:tcPr>
          <w:tcW w:w="1833" w:type="dxa"/>
          <w:tcMar>
            <w:top w:w="113" w:type="dxa"/>
            <w:left w:w="397" w:type="dxa"/>
            <w:bottom w:w="113" w:type="dxa"/>
            <w:right w:w="0" w:type="dxa"/>
          </w:tcMar>
          <w:vAlign w:val="bottom"/>
        </w:tcPr>
        <w:p w:rsidR="00E232B9" w:rsidRPr="004F5CFC" w:rsidRDefault="00E232B9" w:rsidP="006E3B9B">
          <w:pPr>
            <w:pStyle w:val="WRfootercontact"/>
          </w:pPr>
        </w:p>
      </w:tc>
      <w:tc>
        <w:tcPr>
          <w:tcW w:w="7332" w:type="dxa"/>
          <w:tcMar>
            <w:top w:w="113" w:type="dxa"/>
            <w:left w:w="0" w:type="dxa"/>
            <w:bottom w:w="113" w:type="dxa"/>
            <w:right w:w="0" w:type="dxa"/>
          </w:tcMar>
          <w:vAlign w:val="bottom"/>
        </w:tcPr>
        <w:p w:rsidR="00E232B9" w:rsidRPr="004F5CFC" w:rsidRDefault="0051090D" w:rsidP="0051090D">
          <w:pPr>
            <w:pStyle w:val="WRfooterpagenav"/>
          </w:pPr>
          <w:r w:rsidRPr="004F5CFC">
            <w:t xml:space="preserve">Page </w:t>
          </w:r>
          <w:r w:rsidRPr="004F5CFC">
            <w:fldChar w:fldCharType="begin"/>
          </w:r>
          <w:r w:rsidRPr="004F5CFC">
            <w:instrText xml:space="preserve"> PAGE </w:instrText>
          </w:r>
          <w:r w:rsidRPr="004F5CFC">
            <w:fldChar w:fldCharType="separate"/>
          </w:r>
          <w:r w:rsidR="004C0B61">
            <w:rPr>
              <w:noProof/>
            </w:rPr>
            <w:t>5</w:t>
          </w:r>
          <w:r w:rsidRPr="004F5CFC">
            <w:fldChar w:fldCharType="end"/>
          </w:r>
          <w:r w:rsidRPr="004F5CFC">
            <w:t xml:space="preserve"> of </w:t>
          </w:r>
          <w:r w:rsidR="00D17958" w:rsidRPr="004F5CFC">
            <w:fldChar w:fldCharType="begin"/>
          </w:r>
          <w:r w:rsidR="00D17958" w:rsidRPr="004F5CFC">
            <w:instrText xml:space="preserve"> NUMPAGES </w:instrText>
          </w:r>
          <w:r w:rsidR="00D17958" w:rsidRPr="004F5CFC">
            <w:fldChar w:fldCharType="separate"/>
          </w:r>
          <w:r w:rsidR="004C0B61">
            <w:rPr>
              <w:noProof/>
            </w:rPr>
            <w:t>5</w:t>
          </w:r>
          <w:r w:rsidR="00D17958" w:rsidRPr="004F5CFC">
            <w:rPr>
              <w:noProof/>
            </w:rPr>
            <w:fldChar w:fldCharType="end"/>
          </w:r>
        </w:p>
      </w:tc>
      <w:tc>
        <w:tcPr>
          <w:tcW w:w="1833" w:type="dxa"/>
          <w:tcMar>
            <w:top w:w="113" w:type="dxa"/>
            <w:left w:w="397" w:type="dxa"/>
            <w:bottom w:w="113" w:type="dxa"/>
            <w:right w:w="0" w:type="dxa"/>
          </w:tcMar>
        </w:tcPr>
        <w:p w:rsidR="00E232B9" w:rsidRPr="004F5CFC" w:rsidRDefault="00E232B9" w:rsidP="006E3B9B">
          <w:pPr>
            <w:pStyle w:val="WRfootercontact"/>
          </w:pPr>
        </w:p>
      </w:tc>
    </w:tr>
  </w:tbl>
  <w:p w:rsidR="00E232B9" w:rsidRDefault="00E232B9" w:rsidP="00510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8F" w:rsidRDefault="0074118F" w:rsidP="006E3B9B">
      <w:r>
        <w:separator/>
      </w:r>
    </w:p>
  </w:footnote>
  <w:footnote w:type="continuationSeparator" w:id="0">
    <w:p w:rsidR="0074118F" w:rsidRDefault="0074118F" w:rsidP="006E3B9B">
      <w:r>
        <w:continuationSeparator/>
      </w:r>
    </w:p>
  </w:footnote>
  <w:footnote w:id="1">
    <w:p w:rsidR="00D06D3A" w:rsidRDefault="00D06D3A">
      <w:pPr>
        <w:pStyle w:val="FootnoteText"/>
      </w:pPr>
      <w:r>
        <w:rPr>
          <w:rStyle w:val="FootnoteReference"/>
        </w:rPr>
        <w:footnoteRef/>
      </w:r>
      <w:r>
        <w:t xml:space="preserve"> </w:t>
      </w:r>
      <w:proofErr w:type="gramStart"/>
      <w:r w:rsidRPr="00D06D3A">
        <w:rPr>
          <w:rFonts w:ascii="Segoe UI" w:hAnsi="Segoe UI" w:cs="Segoe UI"/>
          <w:sz w:val="16"/>
          <w:szCs w:val="16"/>
        </w:rPr>
        <w:t xml:space="preserve">Committee on the Elimination of Discrimination against Women (2012) </w:t>
      </w:r>
      <w:r w:rsidRPr="00D06D3A">
        <w:rPr>
          <w:rFonts w:ascii="Segoe UI" w:hAnsi="Segoe UI" w:cs="Segoe UI"/>
          <w:i/>
          <w:sz w:val="16"/>
          <w:szCs w:val="16"/>
        </w:rPr>
        <w:t>Concluding observations of the Committee on the Elimination of Discrimination against Women: New Zealand.</w:t>
      </w:r>
      <w:proofErr w:type="gramEnd"/>
      <w:r w:rsidRPr="00D06D3A">
        <w:rPr>
          <w:rFonts w:ascii="Segoe UI" w:hAnsi="Segoe UI" w:cs="Segoe UI"/>
          <w:sz w:val="16"/>
          <w:szCs w:val="16"/>
        </w:rPr>
        <w:t xml:space="preserve"> Retrieved from: </w:t>
      </w:r>
      <w:hyperlink r:id="rId1" w:history="1">
        <w:r w:rsidRPr="00D06D3A">
          <w:rPr>
            <w:rStyle w:val="Hyperlink"/>
            <w:rFonts w:ascii="Segoe UI" w:hAnsi="Segoe UI" w:cs="Segoe UI"/>
            <w:sz w:val="16"/>
            <w:szCs w:val="16"/>
          </w:rPr>
          <w:t>http://women.govt.nz/sites/public_files/CEDAW%20concluding%20observations%202012.pdf</w:t>
        </w:r>
      </w:hyperlink>
    </w:p>
  </w:footnote>
  <w:footnote w:id="2">
    <w:p w:rsidR="00384BC9" w:rsidRPr="004E114B" w:rsidRDefault="00384BC9" w:rsidP="00D06D3A">
      <w:pPr>
        <w:rPr>
          <w:sz w:val="20"/>
          <w:szCs w:val="20"/>
        </w:rPr>
      </w:pPr>
      <w:r>
        <w:rPr>
          <w:rStyle w:val="FootnoteReference"/>
        </w:rPr>
        <w:footnoteRef/>
      </w:r>
      <w:r>
        <w:t xml:space="preserve"> </w:t>
      </w:r>
      <w:r w:rsidRPr="00D06D3A">
        <w:rPr>
          <w:sz w:val="16"/>
          <w:szCs w:val="16"/>
        </w:rPr>
        <w:t>De Silva-de-</w:t>
      </w:r>
      <w:proofErr w:type="spellStart"/>
      <w:r w:rsidRPr="00D06D3A">
        <w:rPr>
          <w:sz w:val="16"/>
          <w:szCs w:val="16"/>
        </w:rPr>
        <w:t>Alwis</w:t>
      </w:r>
      <w:proofErr w:type="spellEnd"/>
      <w:r w:rsidRPr="00D06D3A">
        <w:rPr>
          <w:sz w:val="16"/>
          <w:szCs w:val="16"/>
        </w:rPr>
        <w:t xml:space="preserve">, R. (2008). </w:t>
      </w:r>
      <w:proofErr w:type="gramStart"/>
      <w:r w:rsidRPr="00D06D3A">
        <w:rPr>
          <w:i/>
          <w:sz w:val="16"/>
          <w:szCs w:val="16"/>
        </w:rPr>
        <w:t>Child Marriage and the Law.</w:t>
      </w:r>
      <w:proofErr w:type="gramEnd"/>
      <w:r w:rsidRPr="00D06D3A">
        <w:rPr>
          <w:sz w:val="16"/>
          <w:szCs w:val="16"/>
        </w:rPr>
        <w:t xml:space="preserve"> </w:t>
      </w:r>
      <w:proofErr w:type="spellStart"/>
      <w:proofErr w:type="gramStart"/>
      <w:r w:rsidRPr="00D06D3A">
        <w:rPr>
          <w:sz w:val="16"/>
          <w:szCs w:val="16"/>
        </w:rPr>
        <w:t>Unicef</w:t>
      </w:r>
      <w:proofErr w:type="spellEnd"/>
      <w:proofErr w:type="gramEnd"/>
      <w:r w:rsidRPr="00D06D3A">
        <w:rPr>
          <w:sz w:val="16"/>
          <w:szCs w:val="16"/>
        </w:rPr>
        <w:t xml:space="preserve">. Retrieved from </w:t>
      </w:r>
      <w:hyperlink r:id="rId2" w:history="1">
        <w:r w:rsidRPr="00D06D3A">
          <w:rPr>
            <w:rStyle w:val="Hyperlink"/>
            <w:sz w:val="16"/>
            <w:szCs w:val="16"/>
          </w:rPr>
          <w:t>https://www.unicef.org/policyanalysis/files/Child_Marriage_and_the_Law(1).pdf</w:t>
        </w:r>
      </w:hyperlink>
    </w:p>
    <w:p w:rsidR="00384BC9" w:rsidRDefault="00384BC9" w:rsidP="00384BC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670"/>
    </w:tblGrid>
    <w:tr w:rsidR="00E232B9" w:rsidRPr="004F5CFC" w:rsidTr="00922FC1">
      <w:trPr>
        <w:cantSplit/>
        <w:trHeight w:hRule="exact" w:val="1843"/>
      </w:trPr>
      <w:tc>
        <w:tcPr>
          <w:tcW w:w="5670" w:type="dxa"/>
          <w:tcMar>
            <w:top w:w="283" w:type="dxa"/>
            <w:left w:w="0" w:type="dxa"/>
            <w:bottom w:w="283" w:type="dxa"/>
            <w:right w:w="227" w:type="dxa"/>
          </w:tcMar>
          <w:vAlign w:val="center"/>
        </w:tcPr>
        <w:p w:rsidR="00E232B9" w:rsidRPr="0083770D" w:rsidRDefault="00430376" w:rsidP="005844FD">
          <w:pPr>
            <w:pStyle w:val="WRheadertitle"/>
            <w:rPr>
              <w:rFonts w:asciiTheme="majorHAnsi" w:hAnsiTheme="majorHAnsi"/>
              <w:sz w:val="32"/>
              <w:szCs w:val="32"/>
            </w:rPr>
          </w:pPr>
          <w:r w:rsidRPr="00430376">
            <w:rPr>
              <w:rFonts w:asciiTheme="majorHAnsi" w:hAnsiTheme="majorHAnsi"/>
              <w:sz w:val="32"/>
              <w:szCs w:val="32"/>
            </w:rPr>
            <w:t>Marriage (Court Consent to Marriage of Minors) Amendment Bill</w:t>
          </w:r>
        </w:p>
      </w:tc>
    </w:tr>
  </w:tbl>
  <w:p w:rsidR="00E232B9" w:rsidRDefault="000946F2">
    <w:pPr>
      <w:pStyle w:val="Header"/>
    </w:pPr>
    <w:r>
      <w:rPr>
        <w:noProof/>
        <w:lang w:val="en-NZ" w:eastAsia="en-NZ"/>
      </w:rPr>
      <w:drawing>
        <wp:anchor distT="0" distB="0" distL="114300" distR="114300" simplePos="0" relativeHeight="251657728" behindDoc="1" locked="0" layoutInCell="1" allowOverlap="1" wp14:anchorId="37537271" wp14:editId="175A2E19">
          <wp:simplePos x="0" y="0"/>
          <wp:positionH relativeFrom="page">
            <wp:align>center</wp:align>
          </wp:positionH>
          <wp:positionV relativeFrom="page">
            <wp:align>top</wp:align>
          </wp:positionV>
          <wp:extent cx="7559040" cy="1377950"/>
          <wp:effectExtent l="0" t="0" r="3810" b="0"/>
          <wp:wrapNone/>
          <wp:docPr id="1" name="Picture 4" descr="Description: Work In Progress:WOMENS REFUGE:1510 Fact Sheet Word Template Dev:_working:_links lo res:1510-WR-wordheader-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k In Progress:WOMENS REFUGE:1510 Fact Sheet Word Template Dev:_working:_links lo res:1510-WR-wordheader-f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791E5C"/>
    <w:multiLevelType w:val="singleLevel"/>
    <w:tmpl w:val="90E4E44E"/>
    <w:lvl w:ilvl="0">
      <w:start w:val="1"/>
      <w:numFmt w:val="bullet"/>
      <w:lvlText w:val="–"/>
      <w:lvlJc w:val="left"/>
      <w:pPr>
        <w:tabs>
          <w:tab w:val="num" w:pos="454"/>
        </w:tabs>
        <w:ind w:left="454" w:hanging="227"/>
      </w:pPr>
      <w:rPr>
        <w:rFonts w:ascii="Arial" w:hAnsi="Arial" w:hint="default"/>
      </w:rPr>
    </w:lvl>
  </w:abstractNum>
  <w:abstractNum w:abstractNumId="2">
    <w:nsid w:val="109E246B"/>
    <w:multiLevelType w:val="hybridMultilevel"/>
    <w:tmpl w:val="8EE68232"/>
    <w:lvl w:ilvl="0" w:tplc="B442EEA4">
      <w:start w:val="1"/>
      <w:numFmt w:val="decimal"/>
      <w:lvlText w:val="%1."/>
      <w:lvlJc w:val="left"/>
      <w:pPr>
        <w:ind w:left="3904" w:hanging="360"/>
      </w:pPr>
      <w:rPr>
        <w:rFonts w:cs="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B316A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61E0D85"/>
    <w:multiLevelType w:val="hybridMultilevel"/>
    <w:tmpl w:val="02586572"/>
    <w:lvl w:ilvl="0" w:tplc="99DAA518">
      <w:start w:val="1"/>
      <w:numFmt w:val="decimal"/>
      <w:lvlText w:val="%1."/>
      <w:lvlJc w:val="left"/>
      <w:pPr>
        <w:ind w:left="720" w:hanging="360"/>
      </w:pPr>
      <w:rPr>
        <w:rFonts w:asciiTheme="minorHAnsi" w:hAnsiTheme="minorHAnsi" w:hint="default"/>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ADD14CA"/>
    <w:multiLevelType w:val="multilevel"/>
    <w:tmpl w:val="237CBA18"/>
    <w:numStyleLink w:val="WRbulletedlist"/>
  </w:abstractNum>
  <w:abstractNum w:abstractNumId="6">
    <w:nsid w:val="2BDA17DB"/>
    <w:multiLevelType w:val="multilevel"/>
    <w:tmpl w:val="237CBA18"/>
    <w:numStyleLink w:val="WRbulletedlist"/>
  </w:abstractNum>
  <w:abstractNum w:abstractNumId="7">
    <w:nsid w:val="300B5047"/>
    <w:multiLevelType w:val="hybridMultilevel"/>
    <w:tmpl w:val="FF8A09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45F6989"/>
    <w:multiLevelType w:val="hybridMultilevel"/>
    <w:tmpl w:val="72A229C0"/>
    <w:lvl w:ilvl="0" w:tplc="348AE2B8">
      <w:start w:val="1"/>
      <w:numFmt w:val="decimal"/>
      <w:lvlText w:val="%1."/>
      <w:lvlJc w:val="left"/>
      <w:pPr>
        <w:ind w:left="5889" w:hanging="360"/>
      </w:pPr>
      <w:rPr>
        <w:rFonts w:asciiTheme="minorHAnsi" w:eastAsiaTheme="minorHAnsi" w:hAnsiTheme="minorHAns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9733D69"/>
    <w:multiLevelType w:val="hybridMultilevel"/>
    <w:tmpl w:val="02586572"/>
    <w:lvl w:ilvl="0" w:tplc="99DAA518">
      <w:start w:val="1"/>
      <w:numFmt w:val="decimal"/>
      <w:lvlText w:val="%1."/>
      <w:lvlJc w:val="left"/>
      <w:pPr>
        <w:ind w:left="720" w:hanging="360"/>
      </w:pPr>
      <w:rPr>
        <w:rFonts w:asciiTheme="minorHAnsi" w:hAnsiTheme="minorHAnsi" w:hint="default"/>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97D2AAD"/>
    <w:multiLevelType w:val="multilevel"/>
    <w:tmpl w:val="237CBA18"/>
    <w:numStyleLink w:val="WRbulletedlist"/>
  </w:abstractNum>
  <w:abstractNum w:abstractNumId="11">
    <w:nsid w:val="42DE04FC"/>
    <w:multiLevelType w:val="hybridMultilevel"/>
    <w:tmpl w:val="287EB26E"/>
    <w:lvl w:ilvl="0" w:tplc="37FC0970">
      <w:start w:val="1"/>
      <w:numFmt w:val="bullet"/>
      <w:lvlText w:val="&gt;"/>
      <w:lvlJc w:val="left"/>
      <w:pPr>
        <w:tabs>
          <w:tab w:val="num" w:pos="680"/>
        </w:tabs>
        <w:ind w:left="680" w:hanging="226"/>
      </w:pPr>
      <w:rPr>
        <w:rFonts w:ascii="Arial" w:hAnsi="Arial" w:hint="default"/>
      </w:rPr>
    </w:lvl>
    <w:lvl w:ilvl="1" w:tplc="561CEF50" w:tentative="1">
      <w:start w:val="1"/>
      <w:numFmt w:val="bullet"/>
      <w:lvlText w:val="o"/>
      <w:lvlJc w:val="left"/>
      <w:pPr>
        <w:ind w:left="1440" w:hanging="360"/>
      </w:pPr>
      <w:rPr>
        <w:rFonts w:ascii="Courier New" w:hAnsi="Courier New" w:cs="Courier New" w:hint="default"/>
      </w:rPr>
    </w:lvl>
    <w:lvl w:ilvl="2" w:tplc="66E2472C" w:tentative="1">
      <w:start w:val="1"/>
      <w:numFmt w:val="bullet"/>
      <w:lvlText w:val=""/>
      <w:lvlJc w:val="left"/>
      <w:pPr>
        <w:ind w:left="2160" w:hanging="360"/>
      </w:pPr>
      <w:rPr>
        <w:rFonts w:ascii="Wingdings" w:hAnsi="Wingdings" w:hint="default"/>
      </w:rPr>
    </w:lvl>
    <w:lvl w:ilvl="3" w:tplc="BC5484CC" w:tentative="1">
      <w:start w:val="1"/>
      <w:numFmt w:val="bullet"/>
      <w:lvlText w:val=""/>
      <w:lvlJc w:val="left"/>
      <w:pPr>
        <w:ind w:left="2880" w:hanging="360"/>
      </w:pPr>
      <w:rPr>
        <w:rFonts w:ascii="Symbol" w:hAnsi="Symbol" w:hint="default"/>
      </w:rPr>
    </w:lvl>
    <w:lvl w:ilvl="4" w:tplc="FC9A2726" w:tentative="1">
      <w:start w:val="1"/>
      <w:numFmt w:val="bullet"/>
      <w:lvlText w:val="o"/>
      <w:lvlJc w:val="left"/>
      <w:pPr>
        <w:ind w:left="3600" w:hanging="360"/>
      </w:pPr>
      <w:rPr>
        <w:rFonts w:ascii="Courier New" w:hAnsi="Courier New" w:cs="Courier New" w:hint="default"/>
      </w:rPr>
    </w:lvl>
    <w:lvl w:ilvl="5" w:tplc="3A08AED4" w:tentative="1">
      <w:start w:val="1"/>
      <w:numFmt w:val="bullet"/>
      <w:lvlText w:val=""/>
      <w:lvlJc w:val="left"/>
      <w:pPr>
        <w:ind w:left="4320" w:hanging="360"/>
      </w:pPr>
      <w:rPr>
        <w:rFonts w:ascii="Wingdings" w:hAnsi="Wingdings" w:hint="default"/>
      </w:rPr>
    </w:lvl>
    <w:lvl w:ilvl="6" w:tplc="B0A893B6" w:tentative="1">
      <w:start w:val="1"/>
      <w:numFmt w:val="bullet"/>
      <w:lvlText w:val=""/>
      <w:lvlJc w:val="left"/>
      <w:pPr>
        <w:ind w:left="5040" w:hanging="360"/>
      </w:pPr>
      <w:rPr>
        <w:rFonts w:ascii="Symbol" w:hAnsi="Symbol" w:hint="default"/>
      </w:rPr>
    </w:lvl>
    <w:lvl w:ilvl="7" w:tplc="32BCE274" w:tentative="1">
      <w:start w:val="1"/>
      <w:numFmt w:val="bullet"/>
      <w:lvlText w:val="o"/>
      <w:lvlJc w:val="left"/>
      <w:pPr>
        <w:ind w:left="5760" w:hanging="360"/>
      </w:pPr>
      <w:rPr>
        <w:rFonts w:ascii="Courier New" w:hAnsi="Courier New" w:cs="Courier New" w:hint="default"/>
      </w:rPr>
    </w:lvl>
    <w:lvl w:ilvl="8" w:tplc="FEB28340" w:tentative="1">
      <w:start w:val="1"/>
      <w:numFmt w:val="bullet"/>
      <w:lvlText w:val=""/>
      <w:lvlJc w:val="left"/>
      <w:pPr>
        <w:ind w:left="6480" w:hanging="360"/>
      </w:pPr>
      <w:rPr>
        <w:rFonts w:ascii="Wingdings" w:hAnsi="Wingdings" w:hint="default"/>
      </w:rPr>
    </w:lvl>
  </w:abstractNum>
  <w:abstractNum w:abstractNumId="12">
    <w:nsid w:val="4574249E"/>
    <w:multiLevelType w:val="multilevel"/>
    <w:tmpl w:val="DA241F94"/>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gt;"/>
      <w:lvlJc w:val="left"/>
      <w:pPr>
        <w:tabs>
          <w:tab w:val="num" w:pos="680"/>
        </w:tabs>
        <w:ind w:left="680" w:hanging="226"/>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6626CAD"/>
    <w:multiLevelType w:val="hybridMultilevel"/>
    <w:tmpl w:val="9746C48C"/>
    <w:lvl w:ilvl="0" w:tplc="D374BAEC">
      <w:start w:val="1"/>
      <w:numFmt w:val="decimal"/>
      <w:lvlText w:val="%1."/>
      <w:lvlJc w:val="left"/>
      <w:pPr>
        <w:ind w:left="720" w:hanging="360"/>
      </w:pPr>
      <w:rPr>
        <w:rFonts w:asciiTheme="minorHAnsi" w:hAnsiTheme="minorHAnsi"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7EA2D0B"/>
    <w:multiLevelType w:val="hybridMultilevel"/>
    <w:tmpl w:val="02586572"/>
    <w:lvl w:ilvl="0" w:tplc="99DAA518">
      <w:start w:val="1"/>
      <w:numFmt w:val="decimal"/>
      <w:lvlText w:val="%1."/>
      <w:lvlJc w:val="left"/>
      <w:pPr>
        <w:ind w:left="720" w:hanging="360"/>
      </w:pPr>
      <w:rPr>
        <w:rFonts w:asciiTheme="minorHAnsi" w:hAnsiTheme="minorHAnsi" w:hint="default"/>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9267D7D"/>
    <w:multiLevelType w:val="multilevel"/>
    <w:tmpl w:val="237CBA18"/>
    <w:numStyleLink w:val="WRbulletedlist"/>
  </w:abstractNum>
  <w:abstractNum w:abstractNumId="16">
    <w:nsid w:val="51DD434E"/>
    <w:multiLevelType w:val="multilevel"/>
    <w:tmpl w:val="237CBA18"/>
    <w:styleLink w:val="WRbulletedlist"/>
    <w:lvl w:ilvl="0">
      <w:start w:val="1"/>
      <w:numFmt w:val="bullet"/>
      <w:lvlText w:val="•"/>
      <w:lvlJc w:val="left"/>
      <w:pPr>
        <w:tabs>
          <w:tab w:val="num" w:pos="227"/>
        </w:tabs>
        <w:ind w:left="227" w:hanging="227"/>
      </w:pPr>
      <w:rPr>
        <w:rFonts w:ascii="Arial" w:hAnsi="Arial" w:hint="default"/>
      </w:rPr>
    </w:lvl>
    <w:lvl w:ilvl="1">
      <w:start w:val="1"/>
      <w:numFmt w:val="bullet"/>
      <w:pStyle w:val="WRbulletL2"/>
      <w:lvlText w:val="–"/>
      <w:lvlJc w:val="left"/>
      <w:pPr>
        <w:tabs>
          <w:tab w:val="num" w:pos="454"/>
        </w:tabs>
        <w:ind w:left="454" w:hanging="227"/>
      </w:pPr>
      <w:rPr>
        <w:rFonts w:ascii="Arial" w:hAnsi="Arial" w:hint="default"/>
      </w:rPr>
    </w:lvl>
    <w:lvl w:ilvl="2">
      <w:start w:val="1"/>
      <w:numFmt w:val="bullet"/>
      <w:pStyle w:val="WRbulletL3"/>
      <w:lvlText w:val="&gt;"/>
      <w:lvlJc w:val="left"/>
      <w:pPr>
        <w:tabs>
          <w:tab w:val="num" w:pos="680"/>
        </w:tabs>
        <w:ind w:left="680" w:hanging="226"/>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480761D"/>
    <w:multiLevelType w:val="multilevel"/>
    <w:tmpl w:val="237CBA18"/>
    <w:numStyleLink w:val="WRbulletedlist"/>
  </w:abstractNum>
  <w:abstractNum w:abstractNumId="18">
    <w:nsid w:val="56E31513"/>
    <w:multiLevelType w:val="hybridMultilevel"/>
    <w:tmpl w:val="385A27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D75282D"/>
    <w:multiLevelType w:val="hybridMultilevel"/>
    <w:tmpl w:val="45FEA9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6BB4367B"/>
    <w:multiLevelType w:val="hybridMultilevel"/>
    <w:tmpl w:val="02586572"/>
    <w:lvl w:ilvl="0" w:tplc="99DAA518">
      <w:start w:val="1"/>
      <w:numFmt w:val="decimal"/>
      <w:lvlText w:val="%1."/>
      <w:lvlJc w:val="left"/>
      <w:pPr>
        <w:ind w:left="720" w:hanging="360"/>
      </w:pPr>
      <w:rPr>
        <w:rFonts w:asciiTheme="minorHAnsi" w:hAnsiTheme="minorHAnsi" w:hint="default"/>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1"/>
  </w:num>
  <w:num w:numId="5">
    <w:abstractNumId w:val="11"/>
  </w:num>
  <w:num w:numId="6">
    <w:abstractNumId w:val="15"/>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0"/>
  </w:num>
  <w:num w:numId="12">
    <w:abstractNumId w:val="0"/>
  </w:num>
  <w:num w:numId="13">
    <w:abstractNumId w:val="19"/>
  </w:num>
  <w:num w:numId="14">
    <w:abstractNumId w:val="13"/>
  </w:num>
  <w:num w:numId="15">
    <w:abstractNumId w:val="9"/>
  </w:num>
  <w:num w:numId="16">
    <w:abstractNumId w:val="20"/>
  </w:num>
  <w:num w:numId="17">
    <w:abstractNumId w:val="14"/>
  </w:num>
  <w:num w:numId="18">
    <w:abstractNumId w:val="4"/>
  </w:num>
  <w:num w:numId="19">
    <w:abstractNumId w:val="8"/>
  </w:num>
  <w:num w:numId="20">
    <w:abstractNumId w:val="2"/>
  </w:num>
  <w:num w:numId="21">
    <w:abstractNumId w:val="18"/>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F2"/>
    <w:rsid w:val="0005054F"/>
    <w:rsid w:val="00056D86"/>
    <w:rsid w:val="00072067"/>
    <w:rsid w:val="000946F2"/>
    <w:rsid w:val="000B1C28"/>
    <w:rsid w:val="000B6130"/>
    <w:rsid w:val="000C2326"/>
    <w:rsid w:val="000E28C1"/>
    <w:rsid w:val="000F5863"/>
    <w:rsid w:val="00105ACA"/>
    <w:rsid w:val="001137DD"/>
    <w:rsid w:val="00135C2D"/>
    <w:rsid w:val="001362FA"/>
    <w:rsid w:val="00165736"/>
    <w:rsid w:val="00176836"/>
    <w:rsid w:val="00184AFC"/>
    <w:rsid w:val="001B7643"/>
    <w:rsid w:val="001E353E"/>
    <w:rsid w:val="002451CE"/>
    <w:rsid w:val="002633E6"/>
    <w:rsid w:val="002C79E6"/>
    <w:rsid w:val="002D3A7A"/>
    <w:rsid w:val="002D630C"/>
    <w:rsid w:val="002F34D2"/>
    <w:rsid w:val="0030054C"/>
    <w:rsid w:val="0030645A"/>
    <w:rsid w:val="00325DEA"/>
    <w:rsid w:val="00384BC9"/>
    <w:rsid w:val="003B08B2"/>
    <w:rsid w:val="003D3722"/>
    <w:rsid w:val="003E1E74"/>
    <w:rsid w:val="00405037"/>
    <w:rsid w:val="00430376"/>
    <w:rsid w:val="004329CC"/>
    <w:rsid w:val="004458CB"/>
    <w:rsid w:val="00450D32"/>
    <w:rsid w:val="00487732"/>
    <w:rsid w:val="004937FA"/>
    <w:rsid w:val="004C0B61"/>
    <w:rsid w:val="004C7991"/>
    <w:rsid w:val="004D12D7"/>
    <w:rsid w:val="004F0411"/>
    <w:rsid w:val="004F5CFC"/>
    <w:rsid w:val="005067F6"/>
    <w:rsid w:val="0051090D"/>
    <w:rsid w:val="0051536B"/>
    <w:rsid w:val="00530247"/>
    <w:rsid w:val="00533AA8"/>
    <w:rsid w:val="00551B2F"/>
    <w:rsid w:val="005668E9"/>
    <w:rsid w:val="0056709D"/>
    <w:rsid w:val="00581901"/>
    <w:rsid w:val="005844FD"/>
    <w:rsid w:val="005A1487"/>
    <w:rsid w:val="005A7E9C"/>
    <w:rsid w:val="005C7890"/>
    <w:rsid w:val="005D2B1A"/>
    <w:rsid w:val="00643B3E"/>
    <w:rsid w:val="00672272"/>
    <w:rsid w:val="00674CDC"/>
    <w:rsid w:val="006811F6"/>
    <w:rsid w:val="006E3B9B"/>
    <w:rsid w:val="006F1109"/>
    <w:rsid w:val="0070120C"/>
    <w:rsid w:val="007100C9"/>
    <w:rsid w:val="007218B1"/>
    <w:rsid w:val="00727472"/>
    <w:rsid w:val="00737193"/>
    <w:rsid w:val="0074118F"/>
    <w:rsid w:val="007738B0"/>
    <w:rsid w:val="00776C74"/>
    <w:rsid w:val="007862B0"/>
    <w:rsid w:val="007E3A0E"/>
    <w:rsid w:val="0080250F"/>
    <w:rsid w:val="00803DEB"/>
    <w:rsid w:val="00805B10"/>
    <w:rsid w:val="0082066F"/>
    <w:rsid w:val="008305B8"/>
    <w:rsid w:val="00834410"/>
    <w:rsid w:val="0083770D"/>
    <w:rsid w:val="00852B7A"/>
    <w:rsid w:val="00854053"/>
    <w:rsid w:val="00867FA8"/>
    <w:rsid w:val="00880419"/>
    <w:rsid w:val="0088428B"/>
    <w:rsid w:val="00885FD5"/>
    <w:rsid w:val="00886995"/>
    <w:rsid w:val="008971A3"/>
    <w:rsid w:val="008B02B1"/>
    <w:rsid w:val="008B7076"/>
    <w:rsid w:val="008C61CF"/>
    <w:rsid w:val="008D3AA6"/>
    <w:rsid w:val="008E3974"/>
    <w:rsid w:val="00922FC1"/>
    <w:rsid w:val="00925168"/>
    <w:rsid w:val="00943055"/>
    <w:rsid w:val="0095298B"/>
    <w:rsid w:val="00957D0F"/>
    <w:rsid w:val="009A0911"/>
    <w:rsid w:val="009D58A9"/>
    <w:rsid w:val="00A11E9B"/>
    <w:rsid w:val="00A20F3C"/>
    <w:rsid w:val="00A74DD7"/>
    <w:rsid w:val="00AC16DD"/>
    <w:rsid w:val="00AC2ED5"/>
    <w:rsid w:val="00AC2FA6"/>
    <w:rsid w:val="00AE029B"/>
    <w:rsid w:val="00AF280C"/>
    <w:rsid w:val="00B01C92"/>
    <w:rsid w:val="00B41BC1"/>
    <w:rsid w:val="00B42BBB"/>
    <w:rsid w:val="00B6053C"/>
    <w:rsid w:val="00B64D8C"/>
    <w:rsid w:val="00BD6CE9"/>
    <w:rsid w:val="00BF1D6B"/>
    <w:rsid w:val="00BF3C70"/>
    <w:rsid w:val="00C00B8D"/>
    <w:rsid w:val="00C10243"/>
    <w:rsid w:val="00C23F4D"/>
    <w:rsid w:val="00C41E5D"/>
    <w:rsid w:val="00C73C43"/>
    <w:rsid w:val="00C7597B"/>
    <w:rsid w:val="00C76F0C"/>
    <w:rsid w:val="00D06D3A"/>
    <w:rsid w:val="00D17958"/>
    <w:rsid w:val="00D24939"/>
    <w:rsid w:val="00D30D13"/>
    <w:rsid w:val="00D34381"/>
    <w:rsid w:val="00D34421"/>
    <w:rsid w:val="00D50366"/>
    <w:rsid w:val="00D739DA"/>
    <w:rsid w:val="00D9376D"/>
    <w:rsid w:val="00DC1918"/>
    <w:rsid w:val="00DC4548"/>
    <w:rsid w:val="00E1453A"/>
    <w:rsid w:val="00E1698C"/>
    <w:rsid w:val="00E23081"/>
    <w:rsid w:val="00E232B9"/>
    <w:rsid w:val="00E85CC6"/>
    <w:rsid w:val="00E95809"/>
    <w:rsid w:val="00E96E47"/>
    <w:rsid w:val="00E9789D"/>
    <w:rsid w:val="00EE41CF"/>
    <w:rsid w:val="00F053BC"/>
    <w:rsid w:val="00F23663"/>
    <w:rsid w:val="00F519C5"/>
    <w:rsid w:val="00F70555"/>
    <w:rsid w:val="00F7133C"/>
    <w:rsid w:val="00F82FF6"/>
    <w:rsid w:val="00FB4DCE"/>
    <w:rsid w:val="00FE1D45"/>
    <w:rsid w:val="00FE690D"/>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54053"/>
    <w:pPr>
      <w:widowControl w:val="0"/>
      <w:tabs>
        <w:tab w:val="left" w:pos="607"/>
        <w:tab w:val="left" w:pos="1164"/>
      </w:tabs>
      <w:suppressAutoHyphens/>
      <w:autoSpaceDE w:val="0"/>
      <w:autoSpaceDN w:val="0"/>
      <w:adjustRightInd w:val="0"/>
      <w:spacing w:line="260" w:lineRule="atLeast"/>
      <w:textAlignment w:val="center"/>
    </w:pPr>
    <w:rPr>
      <w:rFonts w:ascii="Arial" w:hAnsi="Arial" w:cs="ArialMT"/>
      <w:color w:val="191919"/>
      <w:sz w:val="19"/>
      <w:szCs w:val="19"/>
      <w:lang w:val="en-US" w:eastAsia="en-US"/>
    </w:rPr>
  </w:style>
  <w:style w:type="paragraph" w:styleId="Heading1">
    <w:name w:val="heading 1"/>
    <w:basedOn w:val="Normal"/>
    <w:link w:val="Heading1Char"/>
    <w:uiPriority w:val="99"/>
    <w:qFormat/>
    <w:rsid w:val="006E3B9B"/>
    <w:pPr>
      <w:spacing w:after="113" w:line="460" w:lineRule="atLeast"/>
      <w:outlineLvl w:val="0"/>
    </w:pPr>
    <w:rPr>
      <w:rFonts w:ascii="Georgia" w:hAnsi="Georgia" w:cs="Georgia-Bold"/>
      <w:b/>
      <w:bCs/>
      <w:color w:val="4F2D7F"/>
      <w:sz w:val="38"/>
      <w:szCs w:val="38"/>
    </w:rPr>
  </w:style>
  <w:style w:type="paragraph" w:styleId="Heading2">
    <w:name w:val="heading 2"/>
    <w:basedOn w:val="Normal"/>
    <w:link w:val="Heading2Char"/>
    <w:uiPriority w:val="99"/>
    <w:qFormat/>
    <w:rsid w:val="006E3B9B"/>
    <w:pPr>
      <w:spacing w:before="113" w:after="57" w:line="340" w:lineRule="atLeast"/>
      <w:outlineLvl w:val="1"/>
    </w:pPr>
    <w:rPr>
      <w:rFonts w:ascii="Georgia" w:hAnsi="Georgia" w:cs="Georgia-Bold"/>
      <w:b/>
      <w:bCs/>
      <w:color w:val="4F2D7F"/>
      <w:sz w:val="28"/>
      <w:szCs w:val="28"/>
    </w:rPr>
  </w:style>
  <w:style w:type="paragraph" w:styleId="Heading3">
    <w:name w:val="heading 3"/>
    <w:basedOn w:val="Heading2"/>
    <w:link w:val="Heading3Char"/>
    <w:uiPriority w:val="99"/>
    <w:qFormat/>
    <w:rsid w:val="006E3B9B"/>
    <w:pPr>
      <w:spacing w:before="170" w:line="300" w:lineRule="atLeast"/>
      <w:outlineLvl w:val="2"/>
    </w:pPr>
    <w:rPr>
      <w:rFonts w:ascii="Arial" w:hAnsi="Arial" w:cs="ArialMT"/>
      <w:sz w:val="26"/>
      <w:szCs w:val="26"/>
    </w:rPr>
  </w:style>
  <w:style w:type="paragraph" w:styleId="Heading4">
    <w:name w:val="heading 4"/>
    <w:basedOn w:val="Normal"/>
    <w:link w:val="Heading4Char"/>
    <w:uiPriority w:val="99"/>
    <w:qFormat/>
    <w:rsid w:val="006E3B9B"/>
    <w:pPr>
      <w:spacing w:before="57" w:line="280" w:lineRule="atLeast"/>
      <w:outlineLvl w:val="3"/>
    </w:pPr>
    <w:rPr>
      <w:rFonts w:cs="Arial-BoldMT"/>
      <w:b/>
      <w:bCs/>
      <w:sz w:val="23"/>
      <w:szCs w:val="23"/>
    </w:rPr>
  </w:style>
  <w:style w:type="paragraph" w:styleId="Heading5">
    <w:name w:val="heading 5"/>
    <w:basedOn w:val="Normal"/>
    <w:link w:val="Heading5Char"/>
    <w:uiPriority w:val="99"/>
    <w:qFormat/>
    <w:rsid w:val="006E3B9B"/>
    <w:pPr>
      <w:spacing w:line="250" w:lineRule="atLeast"/>
      <w:outlineLvl w:val="4"/>
    </w:pPr>
    <w:rPr>
      <w:rFonts w:cs="Arial-Bold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ED5"/>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B9B"/>
    <w:pPr>
      <w:tabs>
        <w:tab w:val="center" w:pos="4320"/>
        <w:tab w:val="right" w:pos="8640"/>
      </w:tabs>
    </w:pPr>
  </w:style>
  <w:style w:type="character" w:customStyle="1" w:styleId="HeaderChar">
    <w:name w:val="Header Char"/>
    <w:basedOn w:val="DefaultParagraphFont"/>
    <w:link w:val="Header"/>
    <w:uiPriority w:val="99"/>
    <w:rsid w:val="006E3B9B"/>
  </w:style>
  <w:style w:type="paragraph" w:styleId="Footer">
    <w:name w:val="footer"/>
    <w:basedOn w:val="Normal"/>
    <w:link w:val="FooterChar"/>
    <w:uiPriority w:val="99"/>
    <w:unhideWhenUsed/>
    <w:rsid w:val="006E3B9B"/>
    <w:pPr>
      <w:tabs>
        <w:tab w:val="center" w:pos="4320"/>
        <w:tab w:val="right" w:pos="8640"/>
      </w:tabs>
    </w:pPr>
  </w:style>
  <w:style w:type="character" w:customStyle="1" w:styleId="FooterChar">
    <w:name w:val="Footer Char"/>
    <w:basedOn w:val="DefaultParagraphFont"/>
    <w:link w:val="Footer"/>
    <w:uiPriority w:val="99"/>
    <w:rsid w:val="006E3B9B"/>
  </w:style>
  <w:style w:type="table" w:customStyle="1" w:styleId="WRTableStyle">
    <w:name w:val="_WR Table Style"/>
    <w:basedOn w:val="TableNormal"/>
    <w:uiPriority w:val="99"/>
    <w:rsid w:val="002451CE"/>
    <w:rPr>
      <w:rFonts w:ascii="Arial" w:hAnsi="Arial"/>
      <w:color w:val="191919"/>
      <w:sz w:val="19"/>
    </w:rPr>
    <w:tblPr>
      <w:tblBorders>
        <w:top w:val="single" w:sz="2" w:space="0" w:color="191919"/>
        <w:left w:val="single" w:sz="2" w:space="0" w:color="191919"/>
        <w:bottom w:val="single" w:sz="2" w:space="0" w:color="191919"/>
        <w:right w:val="single" w:sz="2" w:space="0" w:color="191919"/>
        <w:insideH w:val="single" w:sz="2" w:space="0" w:color="191919"/>
        <w:insideV w:val="single" w:sz="2" w:space="0" w:color="191919"/>
      </w:tblBorders>
      <w:tblCellMar>
        <w:top w:w="57" w:type="dxa"/>
        <w:left w:w="227" w:type="dxa"/>
        <w:bottom w:w="57" w:type="dxa"/>
        <w:right w:w="227" w:type="dxa"/>
      </w:tblCellMar>
    </w:tblPr>
    <w:tblStylePr w:type="firstRow">
      <w:tblPr/>
      <w:tcPr>
        <w:tcBorders>
          <w:top w:val="single" w:sz="2" w:space="0" w:color="191919"/>
          <w:left w:val="single" w:sz="2" w:space="0" w:color="191919"/>
          <w:bottom w:val="single" w:sz="2" w:space="0" w:color="191919"/>
          <w:right w:val="single" w:sz="2" w:space="0" w:color="191919"/>
          <w:insideH w:val="single" w:sz="2" w:space="0" w:color="191919"/>
          <w:insideV w:val="single" w:sz="2" w:space="0" w:color="191919"/>
          <w:tl2br w:val="nil"/>
          <w:tr2bl w:val="nil"/>
        </w:tcBorders>
        <w:shd w:val="clear" w:color="auto" w:fill="F6F5E7"/>
      </w:tcPr>
    </w:tblStylePr>
  </w:style>
  <w:style w:type="paragraph" w:customStyle="1" w:styleId="WRheadertitle">
    <w:name w:val="_WR header title"/>
    <w:basedOn w:val="NoParagraphStyle"/>
    <w:uiPriority w:val="99"/>
    <w:rsid w:val="00105ACA"/>
    <w:pPr>
      <w:tabs>
        <w:tab w:val="clear" w:pos="607"/>
        <w:tab w:val="clear" w:pos="1164"/>
      </w:tabs>
      <w:spacing w:line="560" w:lineRule="atLeast"/>
    </w:pPr>
    <w:rPr>
      <w:rFonts w:ascii="Georgia" w:hAnsi="Georgia" w:cs="Georgia-Bold"/>
      <w:b/>
      <w:bCs/>
      <w:color w:val="55601C"/>
      <w:sz w:val="52"/>
      <w:szCs w:val="52"/>
      <w:lang w:val="en-GB"/>
    </w:rPr>
  </w:style>
  <w:style w:type="character" w:customStyle="1" w:styleId="Heading1Char">
    <w:name w:val="Heading 1 Char"/>
    <w:link w:val="Heading1"/>
    <w:uiPriority w:val="99"/>
    <w:rsid w:val="006E3B9B"/>
    <w:rPr>
      <w:rFonts w:ascii="Georgia" w:hAnsi="Georgia" w:cs="Georgia-Bold"/>
      <w:b/>
      <w:bCs/>
      <w:color w:val="4F2D7F"/>
      <w:sz w:val="38"/>
      <w:szCs w:val="38"/>
    </w:rPr>
  </w:style>
  <w:style w:type="character" w:customStyle="1" w:styleId="Heading2Char">
    <w:name w:val="Heading 2 Char"/>
    <w:link w:val="Heading2"/>
    <w:uiPriority w:val="99"/>
    <w:rsid w:val="006E3B9B"/>
    <w:rPr>
      <w:rFonts w:ascii="Georgia" w:hAnsi="Georgia" w:cs="Georgia-Bold"/>
      <w:b/>
      <w:bCs/>
      <w:color w:val="4F2D7F"/>
      <w:sz w:val="28"/>
      <w:szCs w:val="28"/>
    </w:rPr>
  </w:style>
  <w:style w:type="character" w:customStyle="1" w:styleId="Heading3Char">
    <w:name w:val="Heading 3 Char"/>
    <w:link w:val="Heading3"/>
    <w:uiPriority w:val="99"/>
    <w:rsid w:val="006E3B9B"/>
    <w:rPr>
      <w:rFonts w:ascii="Arial" w:hAnsi="Arial" w:cs="ArialMT"/>
      <w:b/>
      <w:bCs/>
      <w:color w:val="4F2D7F"/>
      <w:sz w:val="26"/>
      <w:szCs w:val="26"/>
    </w:rPr>
  </w:style>
  <w:style w:type="character" w:customStyle="1" w:styleId="Heading4Char">
    <w:name w:val="Heading 4 Char"/>
    <w:link w:val="Heading4"/>
    <w:uiPriority w:val="99"/>
    <w:rsid w:val="006E3B9B"/>
    <w:rPr>
      <w:rFonts w:ascii="Arial" w:hAnsi="Arial" w:cs="Arial-BoldMT"/>
      <w:b/>
      <w:bCs/>
      <w:color w:val="191919"/>
      <w:sz w:val="23"/>
      <w:szCs w:val="23"/>
    </w:rPr>
  </w:style>
  <w:style w:type="character" w:customStyle="1" w:styleId="Heading5Char">
    <w:name w:val="Heading 5 Char"/>
    <w:link w:val="Heading5"/>
    <w:uiPriority w:val="99"/>
    <w:rsid w:val="006E3B9B"/>
    <w:rPr>
      <w:rFonts w:ascii="Arial" w:hAnsi="Arial" w:cs="Arial-BoldMT"/>
      <w:b/>
      <w:bCs/>
      <w:color w:val="191919"/>
      <w:sz w:val="20"/>
      <w:szCs w:val="20"/>
    </w:rPr>
  </w:style>
  <w:style w:type="paragraph" w:customStyle="1" w:styleId="paragraph">
    <w:name w:val="paragraph"/>
    <w:basedOn w:val="Normal"/>
    <w:uiPriority w:val="99"/>
    <w:rsid w:val="00854053"/>
  </w:style>
  <w:style w:type="paragraph" w:customStyle="1" w:styleId="WRintrostyle">
    <w:name w:val="_WR intro style"/>
    <w:basedOn w:val="paragraph"/>
    <w:uiPriority w:val="99"/>
    <w:rsid w:val="006E3B9B"/>
    <w:pPr>
      <w:spacing w:line="270" w:lineRule="atLeast"/>
    </w:pPr>
    <w:rPr>
      <w:rFonts w:cs="Arial-BoldMT"/>
      <w:b/>
      <w:bCs/>
      <w:sz w:val="20"/>
      <w:szCs w:val="20"/>
    </w:rPr>
  </w:style>
  <w:style w:type="paragraph" w:customStyle="1" w:styleId="WRpullquote">
    <w:name w:val="_WR pull quote"/>
    <w:basedOn w:val="Normal"/>
    <w:uiPriority w:val="99"/>
    <w:rsid w:val="006E3B9B"/>
    <w:pPr>
      <w:spacing w:line="270" w:lineRule="atLeast"/>
      <w:ind w:left="227" w:right="227"/>
    </w:pPr>
    <w:rPr>
      <w:rFonts w:ascii="Georgia" w:hAnsi="Georgia" w:cs="Georgia-Italic"/>
      <w:i/>
      <w:iCs/>
    </w:rPr>
  </w:style>
  <w:style w:type="paragraph" w:customStyle="1" w:styleId="NoParagraphStyle">
    <w:name w:val="[No Paragraph Style]"/>
    <w:basedOn w:val="paragraph"/>
    <w:rsid w:val="00E96E47"/>
  </w:style>
  <w:style w:type="character" w:styleId="Hyperlink">
    <w:name w:val="Hyperlink"/>
    <w:uiPriority w:val="99"/>
    <w:unhideWhenUsed/>
    <w:rsid w:val="00854053"/>
    <w:rPr>
      <w:rFonts w:ascii="Arial" w:hAnsi="Arial"/>
      <w:color w:val="4F2D7F"/>
      <w:u w:val="single"/>
    </w:rPr>
  </w:style>
  <w:style w:type="paragraph" w:customStyle="1" w:styleId="WRfootercontact">
    <w:name w:val="_WR footer contact"/>
    <w:basedOn w:val="paragraph"/>
    <w:uiPriority w:val="99"/>
    <w:rsid w:val="006E3B9B"/>
    <w:pPr>
      <w:spacing w:line="180" w:lineRule="atLeast"/>
      <w:jc w:val="center"/>
    </w:pPr>
    <w:rPr>
      <w:color w:val="55601C"/>
      <w:sz w:val="13"/>
      <w:szCs w:val="13"/>
    </w:rPr>
  </w:style>
  <w:style w:type="character" w:styleId="FollowedHyperlink">
    <w:name w:val="FollowedHyperlink"/>
    <w:uiPriority w:val="99"/>
    <w:unhideWhenUsed/>
    <w:rsid w:val="00581901"/>
    <w:rPr>
      <w:rFonts w:ascii="Arial" w:hAnsi="Arial"/>
      <w:color w:val="191919"/>
      <w:u w:val="single"/>
    </w:rPr>
  </w:style>
  <w:style w:type="paragraph" w:customStyle="1" w:styleId="WRfooterpagenav">
    <w:name w:val="_WR footer page nav"/>
    <w:basedOn w:val="WRfootercontact"/>
    <w:uiPriority w:val="99"/>
    <w:rsid w:val="006E3B9B"/>
    <w:rPr>
      <w:rFonts w:cs="Arial-BoldMT"/>
      <w:b/>
      <w:bCs/>
      <w:sz w:val="14"/>
      <w:szCs w:val="14"/>
    </w:rPr>
  </w:style>
  <w:style w:type="paragraph" w:customStyle="1" w:styleId="WRbulletL1">
    <w:name w:val="_WR bullet L1"/>
    <w:basedOn w:val="paragraph"/>
    <w:uiPriority w:val="99"/>
    <w:rsid w:val="00D50366"/>
    <w:pPr>
      <w:numPr>
        <w:numId w:val="6"/>
      </w:numPr>
      <w:spacing w:after="57"/>
    </w:pPr>
    <w:rPr>
      <w:color w:val="000000"/>
    </w:rPr>
  </w:style>
  <w:style w:type="paragraph" w:customStyle="1" w:styleId="WRbulletL2">
    <w:name w:val="_WR bullet L2"/>
    <w:basedOn w:val="WRbulletL1"/>
    <w:uiPriority w:val="99"/>
    <w:rsid w:val="00D50366"/>
    <w:pPr>
      <w:numPr>
        <w:ilvl w:val="1"/>
        <w:numId w:val="11"/>
      </w:numPr>
    </w:pPr>
  </w:style>
  <w:style w:type="numbering" w:customStyle="1" w:styleId="WRbulletedlist">
    <w:name w:val="_WR bulleted list"/>
    <w:basedOn w:val="NoList"/>
    <w:uiPriority w:val="99"/>
    <w:rsid w:val="00D50366"/>
    <w:pPr>
      <w:numPr>
        <w:numId w:val="7"/>
      </w:numPr>
    </w:pPr>
  </w:style>
  <w:style w:type="paragraph" w:customStyle="1" w:styleId="BasicParagraph">
    <w:name w:val="[Basic Paragraph]"/>
    <w:basedOn w:val="NoParagraphStyle"/>
    <w:uiPriority w:val="99"/>
    <w:rsid w:val="00880419"/>
    <w:pPr>
      <w:tabs>
        <w:tab w:val="clear" w:pos="607"/>
        <w:tab w:val="clear" w:pos="1164"/>
      </w:tabs>
      <w:suppressAutoHyphens w:val="0"/>
      <w:spacing w:line="288" w:lineRule="auto"/>
    </w:pPr>
    <w:rPr>
      <w:rFonts w:cs="MinionPro-Regular"/>
      <w:szCs w:val="24"/>
      <w:lang w:val="en-GB"/>
    </w:rPr>
  </w:style>
  <w:style w:type="paragraph" w:customStyle="1" w:styleId="WRbulletL3">
    <w:name w:val="_WR bullet L3"/>
    <w:basedOn w:val="WRbulletL2"/>
    <w:qFormat/>
    <w:rsid w:val="00D50366"/>
    <w:pPr>
      <w:numPr>
        <w:ilvl w:val="2"/>
      </w:numPr>
    </w:pPr>
  </w:style>
  <w:style w:type="paragraph" w:styleId="ListParagraph">
    <w:name w:val="List Paragraph"/>
    <w:basedOn w:val="Normal"/>
    <w:uiPriority w:val="34"/>
    <w:qFormat/>
    <w:rsid w:val="001362FA"/>
    <w:pPr>
      <w:ind w:left="720"/>
      <w:contextualSpacing/>
    </w:pPr>
  </w:style>
  <w:style w:type="paragraph" w:styleId="Title">
    <w:name w:val="Title"/>
    <w:basedOn w:val="Normal"/>
    <w:next w:val="Normal"/>
    <w:link w:val="TitleChar"/>
    <w:uiPriority w:val="10"/>
    <w:qFormat/>
    <w:rsid w:val="00922F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2FC1"/>
    <w:rPr>
      <w:rFonts w:asciiTheme="majorHAnsi" w:eastAsiaTheme="majorEastAsia" w:hAnsiTheme="majorHAnsi" w:cstheme="majorBidi"/>
      <w:color w:val="17365D" w:themeColor="text2" w:themeShade="BF"/>
      <w:spacing w:val="5"/>
      <w:kern w:val="28"/>
      <w:sz w:val="52"/>
      <w:szCs w:val="52"/>
      <w:lang w:val="en-US" w:eastAsia="en-US"/>
    </w:rPr>
  </w:style>
  <w:style w:type="character" w:styleId="Strong">
    <w:name w:val="Strong"/>
    <w:basedOn w:val="DefaultParagraphFont"/>
    <w:uiPriority w:val="22"/>
    <w:qFormat/>
    <w:rsid w:val="00922FC1"/>
    <w:rPr>
      <w:b/>
      <w:bCs/>
    </w:rPr>
  </w:style>
  <w:style w:type="character" w:styleId="Emphasis">
    <w:name w:val="Emphasis"/>
    <w:basedOn w:val="DefaultParagraphFont"/>
    <w:uiPriority w:val="20"/>
    <w:qFormat/>
    <w:rsid w:val="00922FC1"/>
    <w:rPr>
      <w:i/>
      <w:iCs/>
    </w:rPr>
  </w:style>
  <w:style w:type="paragraph" w:styleId="Subtitle">
    <w:name w:val="Subtitle"/>
    <w:basedOn w:val="Normal"/>
    <w:next w:val="Normal"/>
    <w:link w:val="SubtitleChar"/>
    <w:uiPriority w:val="11"/>
    <w:qFormat/>
    <w:rsid w:val="00922F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2FC1"/>
    <w:rPr>
      <w:rFonts w:asciiTheme="majorHAnsi" w:eastAsiaTheme="majorEastAsia" w:hAnsiTheme="majorHAnsi" w:cstheme="majorBidi"/>
      <w:i/>
      <w:iCs/>
      <w:color w:val="4F81BD" w:themeColor="accent1"/>
      <w:spacing w:val="15"/>
      <w:sz w:val="24"/>
      <w:szCs w:val="24"/>
      <w:lang w:val="en-US" w:eastAsia="en-US"/>
    </w:rPr>
  </w:style>
  <w:style w:type="paragraph" w:customStyle="1" w:styleId="Default">
    <w:name w:val="Default"/>
    <w:rsid w:val="008305B8"/>
    <w:pPr>
      <w:autoSpaceDE w:val="0"/>
      <w:autoSpaceDN w:val="0"/>
      <w:adjustRightInd w:val="0"/>
    </w:pPr>
    <w:rPr>
      <w:rFonts w:ascii="Calibri" w:eastAsiaTheme="minorHAnsi" w:hAnsi="Calibri" w:cs="Calibri"/>
      <w:color w:val="000000"/>
      <w:sz w:val="24"/>
      <w:szCs w:val="24"/>
      <w:lang w:eastAsia="en-US"/>
    </w:rPr>
  </w:style>
  <w:style w:type="character" w:customStyle="1" w:styleId="apple-converted-space">
    <w:name w:val="apple-converted-space"/>
    <w:basedOn w:val="DefaultParagraphFont"/>
    <w:rsid w:val="007218B1"/>
  </w:style>
  <w:style w:type="character" w:customStyle="1" w:styleId="swsreferenceauthor">
    <w:name w:val="swsreferenceauthor"/>
    <w:basedOn w:val="DefaultParagraphFont"/>
    <w:rsid w:val="007218B1"/>
  </w:style>
  <w:style w:type="paragraph" w:styleId="BalloonText">
    <w:name w:val="Balloon Text"/>
    <w:basedOn w:val="Normal"/>
    <w:link w:val="BalloonTextChar"/>
    <w:uiPriority w:val="99"/>
    <w:semiHidden/>
    <w:unhideWhenUsed/>
    <w:rsid w:val="00EE41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CF"/>
    <w:rPr>
      <w:rFonts w:ascii="Tahoma" w:hAnsi="Tahoma" w:cs="Tahoma"/>
      <w:color w:val="191919"/>
      <w:sz w:val="16"/>
      <w:szCs w:val="16"/>
      <w:lang w:val="en-US" w:eastAsia="en-US"/>
    </w:rPr>
  </w:style>
  <w:style w:type="paragraph" w:styleId="FootnoteText">
    <w:name w:val="footnote text"/>
    <w:basedOn w:val="Normal"/>
    <w:link w:val="FootnoteTextChar"/>
    <w:uiPriority w:val="99"/>
    <w:semiHidden/>
    <w:unhideWhenUsed/>
    <w:rsid w:val="00384BC9"/>
    <w:pPr>
      <w:widowControl/>
      <w:tabs>
        <w:tab w:val="clear" w:pos="607"/>
        <w:tab w:val="clear" w:pos="1164"/>
      </w:tabs>
      <w:suppressAutoHyphens w:val="0"/>
      <w:autoSpaceDE/>
      <w:autoSpaceDN/>
      <w:adjustRightInd/>
      <w:spacing w:line="240" w:lineRule="auto"/>
      <w:textAlignment w:val="auto"/>
    </w:pPr>
    <w:rPr>
      <w:rFonts w:asciiTheme="minorHAnsi" w:eastAsiaTheme="minorHAnsi" w:hAnsiTheme="minorHAnsi" w:cstheme="minorBidi"/>
      <w:color w:val="auto"/>
      <w:sz w:val="20"/>
      <w:szCs w:val="20"/>
      <w:lang w:val="en-NZ"/>
    </w:rPr>
  </w:style>
  <w:style w:type="character" w:customStyle="1" w:styleId="FootnoteTextChar">
    <w:name w:val="Footnote Text Char"/>
    <w:basedOn w:val="DefaultParagraphFont"/>
    <w:link w:val="FootnoteText"/>
    <w:uiPriority w:val="99"/>
    <w:semiHidden/>
    <w:rsid w:val="00384BC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84B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54053"/>
    <w:pPr>
      <w:widowControl w:val="0"/>
      <w:tabs>
        <w:tab w:val="left" w:pos="607"/>
        <w:tab w:val="left" w:pos="1164"/>
      </w:tabs>
      <w:suppressAutoHyphens/>
      <w:autoSpaceDE w:val="0"/>
      <w:autoSpaceDN w:val="0"/>
      <w:adjustRightInd w:val="0"/>
      <w:spacing w:line="260" w:lineRule="atLeast"/>
      <w:textAlignment w:val="center"/>
    </w:pPr>
    <w:rPr>
      <w:rFonts w:ascii="Arial" w:hAnsi="Arial" w:cs="ArialMT"/>
      <w:color w:val="191919"/>
      <w:sz w:val="19"/>
      <w:szCs w:val="19"/>
      <w:lang w:val="en-US" w:eastAsia="en-US"/>
    </w:rPr>
  </w:style>
  <w:style w:type="paragraph" w:styleId="Heading1">
    <w:name w:val="heading 1"/>
    <w:basedOn w:val="Normal"/>
    <w:link w:val="Heading1Char"/>
    <w:uiPriority w:val="99"/>
    <w:qFormat/>
    <w:rsid w:val="006E3B9B"/>
    <w:pPr>
      <w:spacing w:after="113" w:line="460" w:lineRule="atLeast"/>
      <w:outlineLvl w:val="0"/>
    </w:pPr>
    <w:rPr>
      <w:rFonts w:ascii="Georgia" w:hAnsi="Georgia" w:cs="Georgia-Bold"/>
      <w:b/>
      <w:bCs/>
      <w:color w:val="4F2D7F"/>
      <w:sz w:val="38"/>
      <w:szCs w:val="38"/>
    </w:rPr>
  </w:style>
  <w:style w:type="paragraph" w:styleId="Heading2">
    <w:name w:val="heading 2"/>
    <w:basedOn w:val="Normal"/>
    <w:link w:val="Heading2Char"/>
    <w:uiPriority w:val="99"/>
    <w:qFormat/>
    <w:rsid w:val="006E3B9B"/>
    <w:pPr>
      <w:spacing w:before="113" w:after="57" w:line="340" w:lineRule="atLeast"/>
      <w:outlineLvl w:val="1"/>
    </w:pPr>
    <w:rPr>
      <w:rFonts w:ascii="Georgia" w:hAnsi="Georgia" w:cs="Georgia-Bold"/>
      <w:b/>
      <w:bCs/>
      <w:color w:val="4F2D7F"/>
      <w:sz w:val="28"/>
      <w:szCs w:val="28"/>
    </w:rPr>
  </w:style>
  <w:style w:type="paragraph" w:styleId="Heading3">
    <w:name w:val="heading 3"/>
    <w:basedOn w:val="Heading2"/>
    <w:link w:val="Heading3Char"/>
    <w:uiPriority w:val="99"/>
    <w:qFormat/>
    <w:rsid w:val="006E3B9B"/>
    <w:pPr>
      <w:spacing w:before="170" w:line="300" w:lineRule="atLeast"/>
      <w:outlineLvl w:val="2"/>
    </w:pPr>
    <w:rPr>
      <w:rFonts w:ascii="Arial" w:hAnsi="Arial" w:cs="ArialMT"/>
      <w:sz w:val="26"/>
      <w:szCs w:val="26"/>
    </w:rPr>
  </w:style>
  <w:style w:type="paragraph" w:styleId="Heading4">
    <w:name w:val="heading 4"/>
    <w:basedOn w:val="Normal"/>
    <w:link w:val="Heading4Char"/>
    <w:uiPriority w:val="99"/>
    <w:qFormat/>
    <w:rsid w:val="006E3B9B"/>
    <w:pPr>
      <w:spacing w:before="57" w:line="280" w:lineRule="atLeast"/>
      <w:outlineLvl w:val="3"/>
    </w:pPr>
    <w:rPr>
      <w:rFonts w:cs="Arial-BoldMT"/>
      <w:b/>
      <w:bCs/>
      <w:sz w:val="23"/>
      <w:szCs w:val="23"/>
    </w:rPr>
  </w:style>
  <w:style w:type="paragraph" w:styleId="Heading5">
    <w:name w:val="heading 5"/>
    <w:basedOn w:val="Normal"/>
    <w:link w:val="Heading5Char"/>
    <w:uiPriority w:val="99"/>
    <w:qFormat/>
    <w:rsid w:val="006E3B9B"/>
    <w:pPr>
      <w:spacing w:line="250" w:lineRule="atLeast"/>
      <w:outlineLvl w:val="4"/>
    </w:pPr>
    <w:rPr>
      <w:rFonts w:cs="Arial-Bold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ED5"/>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B9B"/>
    <w:pPr>
      <w:tabs>
        <w:tab w:val="center" w:pos="4320"/>
        <w:tab w:val="right" w:pos="8640"/>
      </w:tabs>
    </w:pPr>
  </w:style>
  <w:style w:type="character" w:customStyle="1" w:styleId="HeaderChar">
    <w:name w:val="Header Char"/>
    <w:basedOn w:val="DefaultParagraphFont"/>
    <w:link w:val="Header"/>
    <w:uiPriority w:val="99"/>
    <w:rsid w:val="006E3B9B"/>
  </w:style>
  <w:style w:type="paragraph" w:styleId="Footer">
    <w:name w:val="footer"/>
    <w:basedOn w:val="Normal"/>
    <w:link w:val="FooterChar"/>
    <w:uiPriority w:val="99"/>
    <w:unhideWhenUsed/>
    <w:rsid w:val="006E3B9B"/>
    <w:pPr>
      <w:tabs>
        <w:tab w:val="center" w:pos="4320"/>
        <w:tab w:val="right" w:pos="8640"/>
      </w:tabs>
    </w:pPr>
  </w:style>
  <w:style w:type="character" w:customStyle="1" w:styleId="FooterChar">
    <w:name w:val="Footer Char"/>
    <w:basedOn w:val="DefaultParagraphFont"/>
    <w:link w:val="Footer"/>
    <w:uiPriority w:val="99"/>
    <w:rsid w:val="006E3B9B"/>
  </w:style>
  <w:style w:type="table" w:customStyle="1" w:styleId="WRTableStyle">
    <w:name w:val="_WR Table Style"/>
    <w:basedOn w:val="TableNormal"/>
    <w:uiPriority w:val="99"/>
    <w:rsid w:val="002451CE"/>
    <w:rPr>
      <w:rFonts w:ascii="Arial" w:hAnsi="Arial"/>
      <w:color w:val="191919"/>
      <w:sz w:val="19"/>
    </w:rPr>
    <w:tblPr>
      <w:tblBorders>
        <w:top w:val="single" w:sz="2" w:space="0" w:color="191919"/>
        <w:left w:val="single" w:sz="2" w:space="0" w:color="191919"/>
        <w:bottom w:val="single" w:sz="2" w:space="0" w:color="191919"/>
        <w:right w:val="single" w:sz="2" w:space="0" w:color="191919"/>
        <w:insideH w:val="single" w:sz="2" w:space="0" w:color="191919"/>
        <w:insideV w:val="single" w:sz="2" w:space="0" w:color="191919"/>
      </w:tblBorders>
      <w:tblCellMar>
        <w:top w:w="57" w:type="dxa"/>
        <w:left w:w="227" w:type="dxa"/>
        <w:bottom w:w="57" w:type="dxa"/>
        <w:right w:w="227" w:type="dxa"/>
      </w:tblCellMar>
    </w:tblPr>
    <w:tblStylePr w:type="firstRow">
      <w:tblPr/>
      <w:tcPr>
        <w:tcBorders>
          <w:top w:val="single" w:sz="2" w:space="0" w:color="191919"/>
          <w:left w:val="single" w:sz="2" w:space="0" w:color="191919"/>
          <w:bottom w:val="single" w:sz="2" w:space="0" w:color="191919"/>
          <w:right w:val="single" w:sz="2" w:space="0" w:color="191919"/>
          <w:insideH w:val="single" w:sz="2" w:space="0" w:color="191919"/>
          <w:insideV w:val="single" w:sz="2" w:space="0" w:color="191919"/>
          <w:tl2br w:val="nil"/>
          <w:tr2bl w:val="nil"/>
        </w:tcBorders>
        <w:shd w:val="clear" w:color="auto" w:fill="F6F5E7"/>
      </w:tcPr>
    </w:tblStylePr>
  </w:style>
  <w:style w:type="paragraph" w:customStyle="1" w:styleId="WRheadertitle">
    <w:name w:val="_WR header title"/>
    <w:basedOn w:val="NoParagraphStyle"/>
    <w:uiPriority w:val="99"/>
    <w:rsid w:val="00105ACA"/>
    <w:pPr>
      <w:tabs>
        <w:tab w:val="clear" w:pos="607"/>
        <w:tab w:val="clear" w:pos="1164"/>
      </w:tabs>
      <w:spacing w:line="560" w:lineRule="atLeast"/>
    </w:pPr>
    <w:rPr>
      <w:rFonts w:ascii="Georgia" w:hAnsi="Georgia" w:cs="Georgia-Bold"/>
      <w:b/>
      <w:bCs/>
      <w:color w:val="55601C"/>
      <w:sz w:val="52"/>
      <w:szCs w:val="52"/>
      <w:lang w:val="en-GB"/>
    </w:rPr>
  </w:style>
  <w:style w:type="character" w:customStyle="1" w:styleId="Heading1Char">
    <w:name w:val="Heading 1 Char"/>
    <w:link w:val="Heading1"/>
    <w:uiPriority w:val="99"/>
    <w:rsid w:val="006E3B9B"/>
    <w:rPr>
      <w:rFonts w:ascii="Georgia" w:hAnsi="Georgia" w:cs="Georgia-Bold"/>
      <w:b/>
      <w:bCs/>
      <w:color w:val="4F2D7F"/>
      <w:sz w:val="38"/>
      <w:szCs w:val="38"/>
    </w:rPr>
  </w:style>
  <w:style w:type="character" w:customStyle="1" w:styleId="Heading2Char">
    <w:name w:val="Heading 2 Char"/>
    <w:link w:val="Heading2"/>
    <w:uiPriority w:val="99"/>
    <w:rsid w:val="006E3B9B"/>
    <w:rPr>
      <w:rFonts w:ascii="Georgia" w:hAnsi="Georgia" w:cs="Georgia-Bold"/>
      <w:b/>
      <w:bCs/>
      <w:color w:val="4F2D7F"/>
      <w:sz w:val="28"/>
      <w:szCs w:val="28"/>
    </w:rPr>
  </w:style>
  <w:style w:type="character" w:customStyle="1" w:styleId="Heading3Char">
    <w:name w:val="Heading 3 Char"/>
    <w:link w:val="Heading3"/>
    <w:uiPriority w:val="99"/>
    <w:rsid w:val="006E3B9B"/>
    <w:rPr>
      <w:rFonts w:ascii="Arial" w:hAnsi="Arial" w:cs="ArialMT"/>
      <w:b/>
      <w:bCs/>
      <w:color w:val="4F2D7F"/>
      <w:sz w:val="26"/>
      <w:szCs w:val="26"/>
    </w:rPr>
  </w:style>
  <w:style w:type="character" w:customStyle="1" w:styleId="Heading4Char">
    <w:name w:val="Heading 4 Char"/>
    <w:link w:val="Heading4"/>
    <w:uiPriority w:val="99"/>
    <w:rsid w:val="006E3B9B"/>
    <w:rPr>
      <w:rFonts w:ascii="Arial" w:hAnsi="Arial" w:cs="Arial-BoldMT"/>
      <w:b/>
      <w:bCs/>
      <w:color w:val="191919"/>
      <w:sz w:val="23"/>
      <w:szCs w:val="23"/>
    </w:rPr>
  </w:style>
  <w:style w:type="character" w:customStyle="1" w:styleId="Heading5Char">
    <w:name w:val="Heading 5 Char"/>
    <w:link w:val="Heading5"/>
    <w:uiPriority w:val="99"/>
    <w:rsid w:val="006E3B9B"/>
    <w:rPr>
      <w:rFonts w:ascii="Arial" w:hAnsi="Arial" w:cs="Arial-BoldMT"/>
      <w:b/>
      <w:bCs/>
      <w:color w:val="191919"/>
      <w:sz w:val="20"/>
      <w:szCs w:val="20"/>
    </w:rPr>
  </w:style>
  <w:style w:type="paragraph" w:customStyle="1" w:styleId="paragraph">
    <w:name w:val="paragraph"/>
    <w:basedOn w:val="Normal"/>
    <w:uiPriority w:val="99"/>
    <w:rsid w:val="00854053"/>
  </w:style>
  <w:style w:type="paragraph" w:customStyle="1" w:styleId="WRintrostyle">
    <w:name w:val="_WR intro style"/>
    <w:basedOn w:val="paragraph"/>
    <w:uiPriority w:val="99"/>
    <w:rsid w:val="006E3B9B"/>
    <w:pPr>
      <w:spacing w:line="270" w:lineRule="atLeast"/>
    </w:pPr>
    <w:rPr>
      <w:rFonts w:cs="Arial-BoldMT"/>
      <w:b/>
      <w:bCs/>
      <w:sz w:val="20"/>
      <w:szCs w:val="20"/>
    </w:rPr>
  </w:style>
  <w:style w:type="paragraph" w:customStyle="1" w:styleId="WRpullquote">
    <w:name w:val="_WR pull quote"/>
    <w:basedOn w:val="Normal"/>
    <w:uiPriority w:val="99"/>
    <w:rsid w:val="006E3B9B"/>
    <w:pPr>
      <w:spacing w:line="270" w:lineRule="atLeast"/>
      <w:ind w:left="227" w:right="227"/>
    </w:pPr>
    <w:rPr>
      <w:rFonts w:ascii="Georgia" w:hAnsi="Georgia" w:cs="Georgia-Italic"/>
      <w:i/>
      <w:iCs/>
    </w:rPr>
  </w:style>
  <w:style w:type="paragraph" w:customStyle="1" w:styleId="NoParagraphStyle">
    <w:name w:val="[No Paragraph Style]"/>
    <w:basedOn w:val="paragraph"/>
    <w:rsid w:val="00E96E47"/>
  </w:style>
  <w:style w:type="character" w:styleId="Hyperlink">
    <w:name w:val="Hyperlink"/>
    <w:uiPriority w:val="99"/>
    <w:unhideWhenUsed/>
    <w:rsid w:val="00854053"/>
    <w:rPr>
      <w:rFonts w:ascii="Arial" w:hAnsi="Arial"/>
      <w:color w:val="4F2D7F"/>
      <w:u w:val="single"/>
    </w:rPr>
  </w:style>
  <w:style w:type="paragraph" w:customStyle="1" w:styleId="WRfootercontact">
    <w:name w:val="_WR footer contact"/>
    <w:basedOn w:val="paragraph"/>
    <w:uiPriority w:val="99"/>
    <w:rsid w:val="006E3B9B"/>
    <w:pPr>
      <w:spacing w:line="180" w:lineRule="atLeast"/>
      <w:jc w:val="center"/>
    </w:pPr>
    <w:rPr>
      <w:color w:val="55601C"/>
      <w:sz w:val="13"/>
      <w:szCs w:val="13"/>
    </w:rPr>
  </w:style>
  <w:style w:type="character" w:styleId="FollowedHyperlink">
    <w:name w:val="FollowedHyperlink"/>
    <w:uiPriority w:val="99"/>
    <w:unhideWhenUsed/>
    <w:rsid w:val="00581901"/>
    <w:rPr>
      <w:rFonts w:ascii="Arial" w:hAnsi="Arial"/>
      <w:color w:val="191919"/>
      <w:u w:val="single"/>
    </w:rPr>
  </w:style>
  <w:style w:type="paragraph" w:customStyle="1" w:styleId="WRfooterpagenav">
    <w:name w:val="_WR footer page nav"/>
    <w:basedOn w:val="WRfootercontact"/>
    <w:uiPriority w:val="99"/>
    <w:rsid w:val="006E3B9B"/>
    <w:rPr>
      <w:rFonts w:cs="Arial-BoldMT"/>
      <w:b/>
      <w:bCs/>
      <w:sz w:val="14"/>
      <w:szCs w:val="14"/>
    </w:rPr>
  </w:style>
  <w:style w:type="paragraph" w:customStyle="1" w:styleId="WRbulletL1">
    <w:name w:val="_WR bullet L1"/>
    <w:basedOn w:val="paragraph"/>
    <w:uiPriority w:val="99"/>
    <w:rsid w:val="00D50366"/>
    <w:pPr>
      <w:numPr>
        <w:numId w:val="6"/>
      </w:numPr>
      <w:spacing w:after="57"/>
    </w:pPr>
    <w:rPr>
      <w:color w:val="000000"/>
    </w:rPr>
  </w:style>
  <w:style w:type="paragraph" w:customStyle="1" w:styleId="WRbulletL2">
    <w:name w:val="_WR bullet L2"/>
    <w:basedOn w:val="WRbulletL1"/>
    <w:uiPriority w:val="99"/>
    <w:rsid w:val="00D50366"/>
    <w:pPr>
      <w:numPr>
        <w:ilvl w:val="1"/>
        <w:numId w:val="11"/>
      </w:numPr>
    </w:pPr>
  </w:style>
  <w:style w:type="numbering" w:customStyle="1" w:styleId="WRbulletedlist">
    <w:name w:val="_WR bulleted list"/>
    <w:basedOn w:val="NoList"/>
    <w:uiPriority w:val="99"/>
    <w:rsid w:val="00D50366"/>
    <w:pPr>
      <w:numPr>
        <w:numId w:val="7"/>
      </w:numPr>
    </w:pPr>
  </w:style>
  <w:style w:type="paragraph" w:customStyle="1" w:styleId="BasicParagraph">
    <w:name w:val="[Basic Paragraph]"/>
    <w:basedOn w:val="NoParagraphStyle"/>
    <w:uiPriority w:val="99"/>
    <w:rsid w:val="00880419"/>
    <w:pPr>
      <w:tabs>
        <w:tab w:val="clear" w:pos="607"/>
        <w:tab w:val="clear" w:pos="1164"/>
      </w:tabs>
      <w:suppressAutoHyphens w:val="0"/>
      <w:spacing w:line="288" w:lineRule="auto"/>
    </w:pPr>
    <w:rPr>
      <w:rFonts w:cs="MinionPro-Regular"/>
      <w:szCs w:val="24"/>
      <w:lang w:val="en-GB"/>
    </w:rPr>
  </w:style>
  <w:style w:type="paragraph" w:customStyle="1" w:styleId="WRbulletL3">
    <w:name w:val="_WR bullet L3"/>
    <w:basedOn w:val="WRbulletL2"/>
    <w:qFormat/>
    <w:rsid w:val="00D50366"/>
    <w:pPr>
      <w:numPr>
        <w:ilvl w:val="2"/>
      </w:numPr>
    </w:pPr>
  </w:style>
  <w:style w:type="paragraph" w:styleId="ListParagraph">
    <w:name w:val="List Paragraph"/>
    <w:basedOn w:val="Normal"/>
    <w:uiPriority w:val="34"/>
    <w:qFormat/>
    <w:rsid w:val="001362FA"/>
    <w:pPr>
      <w:ind w:left="720"/>
      <w:contextualSpacing/>
    </w:pPr>
  </w:style>
  <w:style w:type="paragraph" w:styleId="Title">
    <w:name w:val="Title"/>
    <w:basedOn w:val="Normal"/>
    <w:next w:val="Normal"/>
    <w:link w:val="TitleChar"/>
    <w:uiPriority w:val="10"/>
    <w:qFormat/>
    <w:rsid w:val="00922F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2FC1"/>
    <w:rPr>
      <w:rFonts w:asciiTheme="majorHAnsi" w:eastAsiaTheme="majorEastAsia" w:hAnsiTheme="majorHAnsi" w:cstheme="majorBidi"/>
      <w:color w:val="17365D" w:themeColor="text2" w:themeShade="BF"/>
      <w:spacing w:val="5"/>
      <w:kern w:val="28"/>
      <w:sz w:val="52"/>
      <w:szCs w:val="52"/>
      <w:lang w:val="en-US" w:eastAsia="en-US"/>
    </w:rPr>
  </w:style>
  <w:style w:type="character" w:styleId="Strong">
    <w:name w:val="Strong"/>
    <w:basedOn w:val="DefaultParagraphFont"/>
    <w:uiPriority w:val="22"/>
    <w:qFormat/>
    <w:rsid w:val="00922FC1"/>
    <w:rPr>
      <w:b/>
      <w:bCs/>
    </w:rPr>
  </w:style>
  <w:style w:type="character" w:styleId="Emphasis">
    <w:name w:val="Emphasis"/>
    <w:basedOn w:val="DefaultParagraphFont"/>
    <w:uiPriority w:val="20"/>
    <w:qFormat/>
    <w:rsid w:val="00922FC1"/>
    <w:rPr>
      <w:i/>
      <w:iCs/>
    </w:rPr>
  </w:style>
  <w:style w:type="paragraph" w:styleId="Subtitle">
    <w:name w:val="Subtitle"/>
    <w:basedOn w:val="Normal"/>
    <w:next w:val="Normal"/>
    <w:link w:val="SubtitleChar"/>
    <w:uiPriority w:val="11"/>
    <w:qFormat/>
    <w:rsid w:val="00922F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2FC1"/>
    <w:rPr>
      <w:rFonts w:asciiTheme="majorHAnsi" w:eastAsiaTheme="majorEastAsia" w:hAnsiTheme="majorHAnsi" w:cstheme="majorBidi"/>
      <w:i/>
      <w:iCs/>
      <w:color w:val="4F81BD" w:themeColor="accent1"/>
      <w:spacing w:val="15"/>
      <w:sz w:val="24"/>
      <w:szCs w:val="24"/>
      <w:lang w:val="en-US" w:eastAsia="en-US"/>
    </w:rPr>
  </w:style>
  <w:style w:type="paragraph" w:customStyle="1" w:styleId="Default">
    <w:name w:val="Default"/>
    <w:rsid w:val="008305B8"/>
    <w:pPr>
      <w:autoSpaceDE w:val="0"/>
      <w:autoSpaceDN w:val="0"/>
      <w:adjustRightInd w:val="0"/>
    </w:pPr>
    <w:rPr>
      <w:rFonts w:ascii="Calibri" w:eastAsiaTheme="minorHAnsi" w:hAnsi="Calibri" w:cs="Calibri"/>
      <w:color w:val="000000"/>
      <w:sz w:val="24"/>
      <w:szCs w:val="24"/>
      <w:lang w:eastAsia="en-US"/>
    </w:rPr>
  </w:style>
  <w:style w:type="character" w:customStyle="1" w:styleId="apple-converted-space">
    <w:name w:val="apple-converted-space"/>
    <w:basedOn w:val="DefaultParagraphFont"/>
    <w:rsid w:val="007218B1"/>
  </w:style>
  <w:style w:type="character" w:customStyle="1" w:styleId="swsreferenceauthor">
    <w:name w:val="swsreferenceauthor"/>
    <w:basedOn w:val="DefaultParagraphFont"/>
    <w:rsid w:val="007218B1"/>
  </w:style>
  <w:style w:type="paragraph" w:styleId="BalloonText">
    <w:name w:val="Balloon Text"/>
    <w:basedOn w:val="Normal"/>
    <w:link w:val="BalloonTextChar"/>
    <w:uiPriority w:val="99"/>
    <w:semiHidden/>
    <w:unhideWhenUsed/>
    <w:rsid w:val="00EE41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CF"/>
    <w:rPr>
      <w:rFonts w:ascii="Tahoma" w:hAnsi="Tahoma" w:cs="Tahoma"/>
      <w:color w:val="191919"/>
      <w:sz w:val="16"/>
      <w:szCs w:val="16"/>
      <w:lang w:val="en-US" w:eastAsia="en-US"/>
    </w:rPr>
  </w:style>
  <w:style w:type="paragraph" w:styleId="FootnoteText">
    <w:name w:val="footnote text"/>
    <w:basedOn w:val="Normal"/>
    <w:link w:val="FootnoteTextChar"/>
    <w:uiPriority w:val="99"/>
    <w:semiHidden/>
    <w:unhideWhenUsed/>
    <w:rsid w:val="00384BC9"/>
    <w:pPr>
      <w:widowControl/>
      <w:tabs>
        <w:tab w:val="clear" w:pos="607"/>
        <w:tab w:val="clear" w:pos="1164"/>
      </w:tabs>
      <w:suppressAutoHyphens w:val="0"/>
      <w:autoSpaceDE/>
      <w:autoSpaceDN/>
      <w:adjustRightInd/>
      <w:spacing w:line="240" w:lineRule="auto"/>
      <w:textAlignment w:val="auto"/>
    </w:pPr>
    <w:rPr>
      <w:rFonts w:asciiTheme="minorHAnsi" w:eastAsiaTheme="minorHAnsi" w:hAnsiTheme="minorHAnsi" w:cstheme="minorBidi"/>
      <w:color w:val="auto"/>
      <w:sz w:val="20"/>
      <w:szCs w:val="20"/>
      <w:lang w:val="en-NZ"/>
    </w:rPr>
  </w:style>
  <w:style w:type="character" w:customStyle="1" w:styleId="FootnoteTextChar">
    <w:name w:val="Footnote Text Char"/>
    <w:basedOn w:val="DefaultParagraphFont"/>
    <w:link w:val="FootnoteText"/>
    <w:uiPriority w:val="99"/>
    <w:semiHidden/>
    <w:rsid w:val="00384BC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84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50217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unicef.org/policyanalysis/files/Child_Marriage_and_the_Law(1).pdf" TargetMode="External"/><Relationship Id="rId1" Type="http://schemas.openxmlformats.org/officeDocument/2006/relationships/hyperlink" Target="http://women.govt.nz/sites/public_files/CEDAW%20concluding%20observations%20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men's%20Refuge%20Brand%202011\Stationery\Women's%20Refuge%20Factsheet%20template-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97503945E9FC4291C2D0FEBD5561C0" ma:contentTypeVersion="0" ma:contentTypeDescription="Create a new document." ma:contentTypeScope="" ma:versionID="90d3177b7e9c848603df9365b62d20c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70ADA-5517-4654-BDB8-2FE7611C0A45}">
  <ds:schemaRefs>
    <ds:schemaRef ds:uri="http://schemas.openxmlformats.org/officeDocument/2006/bibliography"/>
  </ds:schemaRefs>
</ds:datastoreItem>
</file>

<file path=customXml/itemProps2.xml><?xml version="1.0" encoding="utf-8"?>
<ds:datastoreItem xmlns:ds="http://schemas.openxmlformats.org/officeDocument/2006/customXml" ds:itemID="{D20669A8-266C-4F9C-9A1D-F3E052F6376B}"/>
</file>

<file path=customXml/itemProps3.xml><?xml version="1.0" encoding="utf-8"?>
<ds:datastoreItem xmlns:ds="http://schemas.openxmlformats.org/officeDocument/2006/customXml" ds:itemID="{7DD434F0-2714-47D2-89C1-BE3D3874A0CB}"/>
</file>

<file path=customXml/itemProps4.xml><?xml version="1.0" encoding="utf-8"?>
<ds:datastoreItem xmlns:ds="http://schemas.openxmlformats.org/officeDocument/2006/customXml" ds:itemID="{DBD9C559-B197-4126-B2E2-F29ED76319F6}"/>
</file>

<file path=docProps/app.xml><?xml version="1.0" encoding="utf-8"?>
<Properties xmlns="http://schemas.openxmlformats.org/officeDocument/2006/extended-properties" xmlns:vt="http://schemas.openxmlformats.org/officeDocument/2006/docPropsVTypes">
  <Template>Women's Refuge Factsheet template-ff.dot</Template>
  <TotalTime>158</TotalTime>
  <Pages>5</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Samdog Design</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Thorburn</dc:creator>
  <cp:lastModifiedBy>Natalie Thorburn</cp:lastModifiedBy>
  <cp:revision>30</cp:revision>
  <cp:lastPrinted>2017-07-17T03:44:00Z</cp:lastPrinted>
  <dcterms:created xsi:type="dcterms:W3CDTF">2017-07-16T23:05:00Z</dcterms:created>
  <dcterms:modified xsi:type="dcterms:W3CDTF">2017-07-17T03:44:00Z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0x0101007C97503945E9FC4291C2D0FEBD5561C0</vt:lpwstr>
  </property>
</Properties>
</file>